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40999"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szCs w:val="22"/>
        </w:rPr>
        <w:t>COMMUNIQUÉ DE PRESSE</w:t>
      </w:r>
    </w:p>
    <w:p w14:paraId="13C11CD5" w14:textId="77777777" w:rsidR="00304944" w:rsidRPr="00304944" w:rsidRDefault="00290B5E" w:rsidP="00304944">
      <w:pPr>
        <w:pStyle w:val="berschrift4"/>
        <w:spacing w:before="0"/>
        <w:rPr>
          <w:rFonts w:ascii="Arial" w:hAnsi="Arial"/>
          <w:i w:val="0"/>
          <w:color w:val="FF0000"/>
          <w:sz w:val="22"/>
          <w:szCs w:val="22"/>
        </w:rPr>
      </w:pPr>
      <w:r>
        <w:rPr>
          <w:rFonts w:ascii="Arial" w:hAnsi="Arial"/>
          <w:i w:val="0"/>
          <w:color w:val="FF0000"/>
          <w:sz w:val="22"/>
          <w:szCs w:val="22"/>
        </w:rPr>
        <w:t>XX/XX/2018</w:t>
      </w:r>
    </w:p>
    <w:p w14:paraId="727BE095" w14:textId="77777777" w:rsidR="00304944" w:rsidRDefault="00290B5E" w:rsidP="00304944">
      <w:pPr>
        <w:pStyle w:val="berschrift4"/>
        <w:spacing w:before="0"/>
        <w:rPr>
          <w:rFonts w:ascii="Arial" w:eastAsia="MS Mincho" w:hAnsi="Arial" w:cs="Times New Roman"/>
          <w:i w:val="0"/>
          <w:iCs w:val="0"/>
          <w:color w:val="000000" w:themeColor="text1"/>
          <w:sz w:val="22"/>
          <w:szCs w:val="22"/>
        </w:rPr>
      </w:pPr>
      <w:r>
        <w:rPr>
          <w:rFonts w:ascii="Arial" w:hAnsi="Arial"/>
          <w:color w:val="FF0000"/>
          <w:sz w:val="22"/>
          <w:szCs w:val="22"/>
        </w:rPr>
        <w:br/>
      </w:r>
      <w:r>
        <w:rPr>
          <w:rFonts w:ascii="Arial" w:hAnsi="Arial"/>
          <w:i w:val="0"/>
          <w:iCs w:val="0"/>
          <w:color w:val="000000" w:themeColor="text1"/>
          <w:sz w:val="28"/>
          <w:szCs w:val="28"/>
        </w:rPr>
        <w:t>Vue spectaculaire et calme imperturbable dans la Philharmonie de l’Elbe</w:t>
      </w:r>
      <w:r>
        <w:rPr>
          <w:rFonts w:ascii="Arial" w:hAnsi="Arial"/>
          <w:bCs w:val="0"/>
          <w:i w:val="0"/>
          <w:iCs w:val="0"/>
          <w:color w:val="000000" w:themeColor="text1"/>
          <w:sz w:val="28"/>
          <w:szCs w:val="28"/>
        </w:rPr>
        <w:br/>
      </w:r>
      <w:r>
        <w:rPr>
          <w:rFonts w:ascii="Arial" w:hAnsi="Arial"/>
          <w:i w:val="0"/>
          <w:iCs w:val="0"/>
          <w:color w:val="000000" w:themeColor="text1"/>
          <w:sz w:val="22"/>
          <w:szCs w:val="22"/>
        </w:rPr>
        <w:t>L’insonorisation high-tech de Getzner isole acoustiquement un appartement penthouse</w:t>
      </w:r>
    </w:p>
    <w:p w14:paraId="15639FBB" w14:textId="77777777" w:rsidR="00304944" w:rsidRPr="00304944" w:rsidRDefault="00304944" w:rsidP="00304944"/>
    <w:p w14:paraId="29F3761E" w14:textId="77777777" w:rsidR="001C07B1" w:rsidRDefault="00304944" w:rsidP="00304944">
      <w:pPr>
        <w:rPr>
          <w:rFonts w:ascii="Arial" w:hAnsi="Arial"/>
          <w:b/>
          <w:bCs/>
          <w:color w:val="000000" w:themeColor="text1"/>
          <w:sz w:val="22"/>
          <w:szCs w:val="22"/>
        </w:rPr>
      </w:pPr>
      <w:r>
        <w:rPr>
          <w:rFonts w:ascii="Arial" w:hAnsi="Arial"/>
          <w:b/>
          <w:bCs/>
          <w:color w:val="000000" w:themeColor="text1"/>
          <w:sz w:val="22"/>
          <w:szCs w:val="22"/>
        </w:rPr>
        <w:t xml:space="preserve">Buers (AT), Hambourg (DE) : Au-dessus des toits de Hambourg, un appartement penthouse de plus de 200 mètres carrés, </w:t>
      </w:r>
      <w:r>
        <w:rPr>
          <w:rFonts w:ascii="Arial" w:hAnsi="Arial"/>
          <w:b/>
          <w:color w:val="000000" w:themeColor="text1"/>
          <w:sz w:val="22"/>
          <w:szCs w:val="22"/>
        </w:rPr>
        <w:t>probablement le plus spectaculaire et le plus cher d’Allemagne, est en cours de réalisation. Directement sous le toit caractéristique de la Philharmonie de l’Elbe, en forme de vagues, les ouvriers sont en train de réassembler les menuiseries intérieures, décomposées en</w:t>
      </w:r>
      <w:r>
        <w:rPr>
          <w:rFonts w:ascii="Arial" w:hAnsi="Arial"/>
          <w:b/>
          <w:bCs/>
          <w:color w:val="000000" w:themeColor="text1"/>
          <w:sz w:val="22"/>
          <w:szCs w:val="22"/>
        </w:rPr>
        <w:t xml:space="preserve"> 1 000 éléments individuels. Getzner Werkstoffe a réalisé l’insonorisation au moyen d’isolations élastiques high-tech pour un confort d’habitation exceptionnel. </w:t>
      </w:r>
    </w:p>
    <w:p w14:paraId="7C0724AD" w14:textId="1B639432" w:rsidR="005446B7" w:rsidRPr="005446B7" w:rsidRDefault="00304944" w:rsidP="00304944">
      <w:pPr>
        <w:rPr>
          <w:rFonts w:ascii="Arial" w:hAnsi="Arial"/>
          <w:color w:val="000000" w:themeColor="text1"/>
          <w:sz w:val="22"/>
          <w:szCs w:val="22"/>
        </w:rPr>
      </w:pPr>
      <w:r>
        <w:rPr>
          <w:rFonts w:ascii="Arial" w:hAnsi="Arial"/>
          <w:b/>
          <w:color w:val="000000" w:themeColor="text1"/>
          <w:sz w:val="22"/>
          <w:szCs w:val="22"/>
        </w:rPr>
        <w:br/>
      </w:r>
      <w:r>
        <w:rPr>
          <w:rFonts w:ascii="Arial" w:hAnsi="Arial"/>
          <w:color w:val="000000" w:themeColor="text1"/>
          <w:sz w:val="22"/>
          <w:szCs w:val="22"/>
        </w:rPr>
        <w:t>À 110 mètres de haut, directement au bord de l’Elbe, la vue panoramique est à couper le souffle. Là, un appartement dont le design intérieur rappelle l’expressionnisme des années 20 est en cours de réalisation. Le maître d’ouvrage avait pour consigne d’assurer l’absence d’angles et d’arêtes. D’un point de vue logistique, il aura fallu prendre également de nombreux éléments en considération, car seul un ascenseur conçu pour le transport de personnes était disponible pour la livraison des matériaux de construction. Le cabinet d’architectes Brückner Architekten et le réalisateur de projets Schotten &amp; Hansen, spécialiste du design intérieur et de la construction préfabriquée, ont osé participer à ce projet et ont élaboré un processus numérique de planification et de production. Afin d’assurer une protection contre les bruits indésirables, Getzner a isolé acoustiquement les menuiseries intérieures du gros œuvre.</w:t>
      </w:r>
      <w:r>
        <w:rPr>
          <w:rFonts w:ascii="Arial" w:hAnsi="Arial"/>
          <w:color w:val="000000" w:themeColor="text1"/>
          <w:sz w:val="22"/>
          <w:szCs w:val="22"/>
        </w:rPr>
        <w:br/>
      </w:r>
      <w:r>
        <w:rPr>
          <w:rFonts w:ascii="Arial" w:hAnsi="Arial"/>
          <w:color w:val="000000" w:themeColor="text1"/>
          <w:sz w:val="22"/>
          <w:szCs w:val="22"/>
        </w:rPr>
        <w:br/>
        <w:t xml:space="preserve">L’aménagement intérieur a fait émerger plusieurs défis que les solutions acoustiques de Getzner ont su résoudre. « Dans la Philharmonie de l’Elbe, tous les composants à incorporer sont soumis à des exigences acoustiques très élevées. Pour l’aménagement intérieur planifié de l’appartement, il a fallu insérer des </w:t>
      </w:r>
      <w:hyperlink r:id="rId8" w:history="1">
        <w:r w:rsidRPr="003B395A">
          <w:rPr>
            <w:rStyle w:val="Hyperlink"/>
            <w:rFonts w:ascii="Arial" w:hAnsi="Arial"/>
            <w:sz w:val="22"/>
            <w:szCs w:val="22"/>
          </w:rPr>
          <w:t>découplages acoustiques</w:t>
        </w:r>
      </w:hyperlink>
      <w:r>
        <w:rPr>
          <w:rFonts w:ascii="Arial" w:hAnsi="Arial"/>
          <w:color w:val="000000" w:themeColor="text1"/>
          <w:sz w:val="22"/>
          <w:szCs w:val="22"/>
        </w:rPr>
        <w:t xml:space="preserve"> devant réagir à différentes exigences de charge, au niveau des interfaces entre les menuiseries intérieures et le gros œuvre. La gamme de produits de la société Getzner nous permet de répondre avec une qualité optimale à cette pluralité d’exigences », relate Laurent Brückner, directeur général de Brückner Architekten GmbH. Les solutions d’insonorisation de Getzner ont déjà fait leurs preuves dans l’hôtel 5 étoiles « The Westin Hamburg » situé dans le bâtiment de la Philharmonie de l’Elbe, où 150 salles de bains préfabriquées ont été suspendues élastiquement sur le </w:t>
      </w:r>
      <w:hyperlink r:id="rId9" w:history="1">
        <w:r w:rsidRPr="003B395A">
          <w:rPr>
            <w:rStyle w:val="Hyperlink"/>
            <w:rFonts w:ascii="Arial" w:hAnsi="Arial"/>
            <w:sz w:val="22"/>
            <w:szCs w:val="22"/>
          </w:rPr>
          <w:t>matériau Sylomer®</w:t>
        </w:r>
      </w:hyperlink>
      <w:r w:rsidRPr="003B395A">
        <w:rPr>
          <w:rFonts w:ascii="Arial" w:hAnsi="Arial"/>
          <w:color w:val="000000" w:themeColor="text1"/>
          <w:sz w:val="22"/>
          <w:szCs w:val="22"/>
        </w:rPr>
        <w:t>.</w:t>
      </w:r>
      <w:r>
        <w:rPr>
          <w:rFonts w:ascii="Arial" w:hAnsi="Arial"/>
          <w:color w:val="000000" w:themeColor="text1"/>
          <w:sz w:val="22"/>
          <w:szCs w:val="22"/>
        </w:rPr>
        <w:t xml:space="preserve"> Même les tuyaux des installations sanitaires ont été isolés avec des matériaux de Getzner, afin de contribuer à l’insonorisation à long terme et donc à l’amélioration du confort d’habitation et de travail.</w:t>
      </w:r>
      <w:bookmarkStart w:id="0" w:name="_GoBack"/>
      <w:bookmarkEnd w:id="0"/>
    </w:p>
    <w:p w14:paraId="39170180" w14:textId="77777777" w:rsidR="00304944" w:rsidRPr="00E7398D" w:rsidRDefault="00304944" w:rsidP="00304944">
      <w:pPr>
        <w:rPr>
          <w:rFonts w:ascii="Arial" w:hAnsi="Arial"/>
          <w:b/>
          <w:color w:val="000000" w:themeColor="text1"/>
          <w:sz w:val="22"/>
          <w:szCs w:val="22"/>
        </w:rPr>
      </w:pPr>
      <w:r>
        <w:rPr>
          <w:rFonts w:ascii="Arial" w:hAnsi="Arial"/>
          <w:color w:val="000000" w:themeColor="text1"/>
          <w:sz w:val="22"/>
          <w:szCs w:val="22"/>
        </w:rPr>
        <w:br/>
      </w:r>
      <w:r>
        <w:rPr>
          <w:rFonts w:ascii="Arial" w:hAnsi="Arial"/>
          <w:b/>
          <w:bCs/>
          <w:color w:val="000000" w:themeColor="text1"/>
          <w:sz w:val="22"/>
          <w:szCs w:val="22"/>
        </w:rPr>
        <w:t>En bref : penthouse de luxe dans la Philharmonie de l’Elbe à Hambourg</w:t>
      </w:r>
    </w:p>
    <w:p w14:paraId="42A160B2" w14:textId="77777777" w:rsidR="00304944" w:rsidRP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Livraison : </w:t>
      </w:r>
      <w:r>
        <w:rPr>
          <w:rFonts w:ascii="Arial" w:hAnsi="Arial"/>
          <w:color w:val="000000" w:themeColor="text1"/>
          <w:sz w:val="22"/>
          <w:szCs w:val="22"/>
        </w:rPr>
        <w:tab/>
        <w:t xml:space="preserve">Milieu d’année 2018 </w:t>
      </w:r>
    </w:p>
    <w:p w14:paraId="4407544C" w14:textId="77777777" w:rsidR="00E8303F" w:rsidRPr="00E8303F" w:rsidRDefault="00E8303F" w:rsidP="00304944">
      <w:pPr>
        <w:tabs>
          <w:tab w:val="left" w:pos="3544"/>
        </w:tabs>
        <w:rPr>
          <w:rFonts w:ascii="Arial" w:hAnsi="Arial"/>
          <w:color w:val="000000" w:themeColor="text1"/>
          <w:sz w:val="22"/>
          <w:szCs w:val="22"/>
          <w:vertAlign w:val="superscript"/>
        </w:rPr>
      </w:pPr>
      <w:r>
        <w:rPr>
          <w:rFonts w:ascii="Arial" w:hAnsi="Arial"/>
          <w:color w:val="000000" w:themeColor="text1"/>
          <w:sz w:val="22"/>
          <w:szCs w:val="22"/>
        </w:rPr>
        <w:t xml:space="preserve">Superficie : </w:t>
      </w:r>
      <w:r>
        <w:rPr>
          <w:rFonts w:ascii="Arial" w:hAnsi="Arial"/>
          <w:color w:val="000000" w:themeColor="text1"/>
          <w:sz w:val="22"/>
          <w:szCs w:val="22"/>
        </w:rPr>
        <w:tab/>
        <w:t>Plus de 200 m</w:t>
      </w:r>
      <w:r>
        <w:rPr>
          <w:rFonts w:ascii="Arial" w:hAnsi="Arial"/>
          <w:color w:val="000000" w:themeColor="text1"/>
          <w:sz w:val="22"/>
          <w:szCs w:val="22"/>
          <w:vertAlign w:val="superscript"/>
        </w:rPr>
        <w:t>2</w:t>
      </w:r>
    </w:p>
    <w:p w14:paraId="6839B3F6" w14:textId="77777777" w:rsidR="00E8303F" w:rsidRDefault="005446B7"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Situation : </w:t>
      </w:r>
      <w:r>
        <w:rPr>
          <w:rFonts w:ascii="Arial" w:hAnsi="Arial"/>
          <w:color w:val="000000" w:themeColor="text1"/>
          <w:sz w:val="22"/>
          <w:szCs w:val="22"/>
        </w:rPr>
        <w:tab/>
        <w:t>À 110 m de haut</w:t>
      </w:r>
    </w:p>
    <w:p w14:paraId="08B9C1BB" w14:textId="77777777" w:rsidR="00E8303F" w:rsidRDefault="00E8303F" w:rsidP="00304944">
      <w:pPr>
        <w:tabs>
          <w:tab w:val="left" w:pos="3544"/>
        </w:tabs>
        <w:rPr>
          <w:rFonts w:ascii="Arial" w:hAnsi="Arial"/>
          <w:color w:val="000000" w:themeColor="text1"/>
          <w:sz w:val="22"/>
          <w:szCs w:val="22"/>
        </w:rPr>
      </w:pPr>
      <w:r>
        <w:rPr>
          <w:rFonts w:ascii="Arial" w:hAnsi="Arial"/>
          <w:color w:val="000000" w:themeColor="text1"/>
          <w:sz w:val="22"/>
          <w:szCs w:val="22"/>
        </w:rPr>
        <w:t>Éléments individuels :</w:t>
      </w:r>
      <w:r>
        <w:rPr>
          <w:rFonts w:ascii="Arial" w:hAnsi="Arial"/>
          <w:color w:val="000000" w:themeColor="text1"/>
          <w:sz w:val="22"/>
          <w:szCs w:val="22"/>
        </w:rPr>
        <w:tab/>
        <w:t>1 000</w:t>
      </w:r>
    </w:p>
    <w:p w14:paraId="5949E2D9" w14:textId="77777777" w:rsid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Protection contre les vibrations : </w:t>
      </w:r>
      <w:r>
        <w:rPr>
          <w:rFonts w:ascii="Arial" w:hAnsi="Arial"/>
          <w:color w:val="000000" w:themeColor="text1"/>
          <w:sz w:val="22"/>
          <w:szCs w:val="22"/>
        </w:rPr>
        <w:tab/>
      </w:r>
      <w:hyperlink r:id="rId10" w:tgtFrame="_blank" w:tooltip="Getzner Werkstoffe" w:history="1">
        <w:r>
          <w:rPr>
            <w:rFonts w:ascii="Arial" w:hAnsi="Arial"/>
            <w:color w:val="000000" w:themeColor="text1"/>
            <w:sz w:val="22"/>
            <w:szCs w:val="22"/>
          </w:rPr>
          <w:t>Getzner Werkstoffe GmbH</w:t>
        </w:r>
      </w:hyperlink>
    </w:p>
    <w:p w14:paraId="0290765A" w14:textId="77777777" w:rsidR="00304944" w:rsidRP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Cabinet d’architectes : </w:t>
      </w:r>
      <w:r>
        <w:rPr>
          <w:rFonts w:ascii="Arial" w:hAnsi="Arial"/>
          <w:color w:val="000000" w:themeColor="text1"/>
          <w:sz w:val="22"/>
          <w:szCs w:val="22"/>
        </w:rPr>
        <w:tab/>
      </w:r>
      <w:hyperlink r:id="rId11" w:tgtFrame="_blank" w:tooltip="Brückner Architekten" w:history="1">
        <w:r>
          <w:rPr>
            <w:rFonts w:ascii="Arial" w:hAnsi="Arial"/>
            <w:color w:val="000000" w:themeColor="text1"/>
            <w:sz w:val="22"/>
            <w:szCs w:val="22"/>
          </w:rPr>
          <w:t xml:space="preserve">Brückner Architekten GmbH </w:t>
        </w:r>
      </w:hyperlink>
    </w:p>
    <w:p w14:paraId="7B191429" w14:textId="77777777" w:rsidR="00304944" w:rsidRP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Aménagement intérieur : </w:t>
      </w:r>
      <w:r>
        <w:rPr>
          <w:rFonts w:ascii="Arial" w:hAnsi="Arial"/>
          <w:color w:val="000000" w:themeColor="text1"/>
          <w:sz w:val="22"/>
          <w:szCs w:val="22"/>
        </w:rPr>
        <w:tab/>
      </w:r>
      <w:hyperlink r:id="rId12" w:tgtFrame="_blank" w:tooltip="Schotten Hansen" w:history="1">
        <w:r>
          <w:rPr>
            <w:rFonts w:ascii="Arial" w:hAnsi="Arial"/>
            <w:color w:val="000000" w:themeColor="text1"/>
            <w:sz w:val="22"/>
            <w:szCs w:val="22"/>
          </w:rPr>
          <w:t xml:space="preserve">Schotten &amp; Hansen GmbH </w:t>
        </w:r>
      </w:hyperlink>
    </w:p>
    <w:p w14:paraId="0C277551" w14:textId="77777777" w:rsidR="00304944" w:rsidRP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 xml:space="preserve">Conseil en acoustique :  </w:t>
      </w:r>
      <w:r>
        <w:rPr>
          <w:rFonts w:ascii="Arial" w:hAnsi="Arial"/>
          <w:color w:val="000000" w:themeColor="text1"/>
          <w:sz w:val="22"/>
          <w:szCs w:val="22"/>
        </w:rPr>
        <w:tab/>
      </w:r>
      <w:hyperlink r:id="rId13" w:tgtFrame="_blank" w:history="1">
        <w:r>
          <w:rPr>
            <w:rFonts w:ascii="Arial" w:hAnsi="Arial"/>
            <w:color w:val="000000" w:themeColor="text1"/>
            <w:sz w:val="22"/>
            <w:szCs w:val="22"/>
          </w:rPr>
          <w:t xml:space="preserve">HOCHTIEF Infrastructure GmbH </w:t>
        </w:r>
      </w:hyperlink>
    </w:p>
    <w:p w14:paraId="60CC57C0" w14:textId="77777777" w:rsidR="00304944" w:rsidRPr="009A745C" w:rsidRDefault="00304944" w:rsidP="00304944">
      <w:pPr>
        <w:tabs>
          <w:tab w:val="left" w:pos="3544"/>
        </w:tabs>
        <w:rPr>
          <w:rFonts w:ascii="Arial" w:hAnsi="Arial"/>
          <w:color w:val="000000" w:themeColor="text1"/>
          <w:sz w:val="22"/>
          <w:szCs w:val="22"/>
          <w:lang w:val="de-AT"/>
        </w:rPr>
      </w:pPr>
      <w:r>
        <w:rPr>
          <w:rFonts w:ascii="Arial" w:hAnsi="Arial"/>
          <w:color w:val="000000" w:themeColor="text1"/>
          <w:sz w:val="22"/>
          <w:szCs w:val="22"/>
        </w:rPr>
        <w:tab/>
      </w:r>
      <w:hyperlink r:id="rId14" w:tgtFrame="_blank" w:history="1">
        <w:r w:rsidRPr="009A745C">
          <w:rPr>
            <w:rFonts w:ascii="Arial" w:hAnsi="Arial"/>
            <w:color w:val="000000" w:themeColor="text1"/>
            <w:sz w:val="22"/>
            <w:szCs w:val="22"/>
            <w:lang w:val="de-AT"/>
          </w:rPr>
          <w:t xml:space="preserve">Beratungsbüro für Bau- und Raumakustik GmbH </w:t>
        </w:r>
      </w:hyperlink>
    </w:p>
    <w:p w14:paraId="1A4F4ADA" w14:textId="77777777" w:rsidR="00921266" w:rsidRPr="009A745C" w:rsidRDefault="00921266" w:rsidP="00304944">
      <w:pPr>
        <w:tabs>
          <w:tab w:val="left" w:pos="3544"/>
        </w:tabs>
        <w:rPr>
          <w:rFonts w:ascii="Arial" w:hAnsi="Arial"/>
          <w:b/>
          <w:color w:val="FF0000"/>
          <w:sz w:val="22"/>
          <w:szCs w:val="22"/>
          <w:lang w:val="de-AT"/>
        </w:rPr>
      </w:pPr>
    </w:p>
    <w:p w14:paraId="6EF74876" w14:textId="77777777" w:rsidR="00601A62" w:rsidRDefault="00E8608F" w:rsidP="00E8608F">
      <w:pPr>
        <w:rPr>
          <w:rFonts w:ascii="Arial" w:hAnsi="Arial"/>
          <w:i/>
          <w:sz w:val="22"/>
          <w:szCs w:val="22"/>
        </w:rPr>
      </w:pPr>
      <w:r>
        <w:rPr>
          <w:rFonts w:ascii="Arial" w:hAnsi="Arial"/>
          <w:b/>
          <w:sz w:val="22"/>
          <w:szCs w:val="22"/>
        </w:rPr>
        <w:t>Suggestion de tweet :</w:t>
      </w:r>
      <w:r>
        <w:rPr>
          <w:rFonts w:ascii="Arial" w:hAnsi="Arial"/>
          <w:sz w:val="22"/>
          <w:szCs w:val="22"/>
        </w:rPr>
        <w:t xml:space="preserve"> Penthouse calme à la @Philharmonie de l’Elbe à Hambourg ? C’est possible avec une solution antivibratoire #Getzner #solution antivibratoire</w:t>
      </w:r>
    </w:p>
    <w:p w14:paraId="1FA3CAB5" w14:textId="77777777" w:rsidR="00D10503" w:rsidRDefault="00D10503" w:rsidP="00BC5E52">
      <w:pPr>
        <w:rPr>
          <w:rFonts w:ascii="Arial" w:hAnsi="Arial"/>
          <w:b/>
          <w:color w:val="FF0000"/>
          <w:sz w:val="22"/>
          <w:szCs w:val="22"/>
        </w:rPr>
      </w:pPr>
    </w:p>
    <w:p w14:paraId="69A454B3" w14:textId="77777777" w:rsidR="00304944" w:rsidRPr="005446B7" w:rsidRDefault="00D10503" w:rsidP="00BC5E52">
      <w:pPr>
        <w:rPr>
          <w:rFonts w:eastAsia="Times New Roman"/>
        </w:rPr>
      </w:pPr>
      <w:r>
        <w:rPr>
          <w:rFonts w:ascii="Arial" w:hAnsi="Arial"/>
          <w:b/>
          <w:sz w:val="22"/>
          <w:szCs w:val="22"/>
        </w:rPr>
        <w:t xml:space="preserve">Photo 1 : </w:t>
      </w:r>
      <w:r>
        <w:rPr>
          <w:rFonts w:ascii="Arial" w:hAnsi="Arial"/>
          <w:sz w:val="22"/>
          <w:szCs w:val="22"/>
        </w:rPr>
        <w:t>Getzner-Elbphilharmonie</w:t>
      </w:r>
    </w:p>
    <w:p w14:paraId="605233C9" w14:textId="77777777" w:rsidR="00BC5E52" w:rsidRPr="00601A62" w:rsidRDefault="00BC5E52" w:rsidP="00BC5E52">
      <w:pPr>
        <w:rPr>
          <w:rFonts w:ascii="Arial" w:hAnsi="Arial" w:cs="Arial"/>
          <w:b/>
          <w:sz w:val="22"/>
          <w:szCs w:val="22"/>
        </w:rPr>
      </w:pPr>
      <w:r>
        <w:rPr>
          <w:rFonts w:ascii="Arial" w:hAnsi="Arial"/>
          <w:b/>
          <w:sz w:val="22"/>
          <w:szCs w:val="22"/>
        </w:rPr>
        <w:t>Légende 1</w:t>
      </w:r>
      <w:r>
        <w:rPr>
          <w:rFonts w:ascii="Arial" w:hAnsi="Arial"/>
          <w:sz w:val="22"/>
          <w:szCs w:val="22"/>
        </w:rPr>
        <w:t> : La solution d’insonorisation permet une cohabitation harmonieuse entre la Philharmonie et le penthouse</w:t>
      </w:r>
    </w:p>
    <w:p w14:paraId="4C99A147" w14:textId="77777777" w:rsidR="00BC5E52" w:rsidRDefault="00BC5E52" w:rsidP="00BC5E52">
      <w:pPr>
        <w:rPr>
          <w:rFonts w:ascii="Arial" w:hAnsi="Arial"/>
          <w:sz w:val="22"/>
          <w:szCs w:val="22"/>
        </w:rPr>
      </w:pPr>
      <w:r>
        <w:rPr>
          <w:rFonts w:ascii="Arial" w:hAnsi="Arial"/>
          <w:b/>
          <w:sz w:val="22"/>
          <w:szCs w:val="22"/>
        </w:rPr>
        <w:t>Crédit photographique 1</w:t>
      </w:r>
      <w:r>
        <w:rPr>
          <w:rFonts w:ascii="Arial" w:hAnsi="Arial"/>
          <w:sz w:val="22"/>
          <w:szCs w:val="22"/>
        </w:rPr>
        <w:t xml:space="preserve"> : </w:t>
      </w:r>
      <w:r>
        <w:rPr>
          <w:rFonts w:ascii="Calibri" w:hAnsi="Calibri"/>
          <w:color w:val="1F497D"/>
          <w:sz w:val="22"/>
          <w:szCs w:val="22"/>
        </w:rPr>
        <w:t>©</w:t>
      </w:r>
      <w:r>
        <w:rPr>
          <w:rFonts w:ascii="Arial" w:hAnsi="Arial"/>
          <w:sz w:val="22"/>
          <w:szCs w:val="22"/>
        </w:rPr>
        <w:t>Thies Rätzke/Brückner Architekten GmbH, publication libre de droits</w:t>
      </w:r>
    </w:p>
    <w:p w14:paraId="3CCCF2EA" w14:textId="77777777" w:rsidR="00CE148D" w:rsidRDefault="00CE148D" w:rsidP="00BC5E52">
      <w:pPr>
        <w:rPr>
          <w:rFonts w:ascii="Arial" w:hAnsi="Arial"/>
          <w:sz w:val="22"/>
          <w:szCs w:val="22"/>
        </w:rPr>
      </w:pPr>
    </w:p>
    <w:p w14:paraId="1D8FD7D9" w14:textId="4B044ECF" w:rsidR="00CE148D" w:rsidRDefault="004F4AC0" w:rsidP="00CE148D">
      <w:pPr>
        <w:rPr>
          <w:rFonts w:ascii="Arial" w:hAnsi="Arial"/>
          <w:sz w:val="22"/>
          <w:szCs w:val="22"/>
        </w:rPr>
      </w:pPr>
      <w:r>
        <w:rPr>
          <w:rFonts w:ascii="Arial" w:hAnsi="Arial"/>
          <w:b/>
          <w:sz w:val="22"/>
          <w:szCs w:val="22"/>
        </w:rPr>
        <w:br/>
      </w:r>
      <w:r>
        <w:rPr>
          <w:rFonts w:ascii="Arial" w:hAnsi="Arial"/>
          <w:b/>
          <w:sz w:val="22"/>
          <w:szCs w:val="22"/>
        </w:rPr>
        <w:br/>
        <w:t xml:space="preserve">Photo 2 : </w:t>
      </w:r>
      <w:r>
        <w:rPr>
          <w:rFonts w:ascii="Arial" w:hAnsi="Arial"/>
          <w:sz w:val="22"/>
          <w:szCs w:val="22"/>
        </w:rPr>
        <w:t>180307_getzner_4</w:t>
      </w:r>
      <w:r>
        <w:rPr>
          <w:rFonts w:ascii="Arial" w:hAnsi="Arial"/>
          <w:b/>
          <w:sz w:val="22"/>
          <w:szCs w:val="22"/>
        </w:rPr>
        <w:br/>
        <w:t>Légende 2</w:t>
      </w:r>
      <w:r>
        <w:rPr>
          <w:rFonts w:ascii="Arial" w:hAnsi="Arial"/>
          <w:sz w:val="22"/>
          <w:szCs w:val="22"/>
        </w:rPr>
        <w:t xml:space="preserve"> : </w:t>
      </w:r>
      <w:r>
        <w:rPr>
          <w:rFonts w:ascii="Arial" w:hAnsi="Arial"/>
          <w:color w:val="000000" w:themeColor="text1"/>
          <w:sz w:val="22"/>
          <w:szCs w:val="22"/>
        </w:rPr>
        <w:t xml:space="preserve">Les interfaces entre les menuiseries et le gros œuvre sont découplées acoustiquement, les matériaux réagissent aux différentes exigences de charge. </w:t>
      </w:r>
      <w:r>
        <w:rPr>
          <w:rFonts w:ascii="Arial" w:hAnsi="Arial"/>
          <w:b/>
          <w:sz w:val="22"/>
          <w:szCs w:val="22"/>
        </w:rPr>
        <w:t>Crédit photographique 2</w:t>
      </w:r>
      <w:r>
        <w:rPr>
          <w:rFonts w:ascii="Arial" w:hAnsi="Arial"/>
          <w:sz w:val="22"/>
          <w:szCs w:val="22"/>
        </w:rPr>
        <w:t> : © Brückner Architekten GmbH, publication libre de droits</w:t>
      </w:r>
    </w:p>
    <w:p w14:paraId="32585555" w14:textId="77777777" w:rsidR="00CE148D" w:rsidRPr="00601A62" w:rsidRDefault="00CE148D" w:rsidP="00CE148D">
      <w:pPr>
        <w:rPr>
          <w:sz w:val="22"/>
          <w:szCs w:val="22"/>
        </w:rPr>
        <w:sectPr w:rsidR="00CE148D" w:rsidRPr="00601A62" w:rsidSect="00BC5E52">
          <w:type w:val="continuous"/>
          <w:pgSz w:w="11900" w:h="16840"/>
          <w:pgMar w:top="1417" w:right="1417" w:bottom="1134" w:left="1417" w:header="708" w:footer="708" w:gutter="0"/>
          <w:cols w:space="708"/>
          <w:docGrid w:linePitch="360"/>
        </w:sectPr>
      </w:pPr>
    </w:p>
    <w:p w14:paraId="01CE6BE2" w14:textId="77777777" w:rsidR="00CE148D" w:rsidRPr="00601A62" w:rsidRDefault="00CE148D" w:rsidP="00BC5E52">
      <w:pPr>
        <w:rPr>
          <w:sz w:val="22"/>
          <w:szCs w:val="22"/>
        </w:rPr>
        <w:sectPr w:rsidR="00CE148D" w:rsidRPr="00601A62" w:rsidSect="00BC5E52">
          <w:type w:val="continuous"/>
          <w:pgSz w:w="11900" w:h="16840"/>
          <w:pgMar w:top="1417" w:right="1417" w:bottom="1134" w:left="1417" w:header="708" w:footer="708" w:gutter="0"/>
          <w:cols w:space="708"/>
          <w:docGrid w:linePitch="360"/>
        </w:sectPr>
      </w:pPr>
    </w:p>
    <w:p w14:paraId="670D73F2" w14:textId="77777777" w:rsidR="00D33946" w:rsidRPr="00CE148D" w:rsidRDefault="00D33946">
      <w:pPr>
        <w:rPr>
          <w:rFonts w:ascii="Arial" w:hAnsi="Arial" w:cs="Arial"/>
          <w:b/>
          <w:color w:val="FF0000"/>
          <w:sz w:val="18"/>
          <w:szCs w:val="18"/>
        </w:rPr>
      </w:pPr>
    </w:p>
    <w:p w14:paraId="0A2609A0" w14:textId="77777777" w:rsidR="00A55842" w:rsidRPr="00601A62" w:rsidRDefault="00A55842" w:rsidP="00A55842">
      <w:pPr>
        <w:rPr>
          <w:rFonts w:ascii="Arial" w:hAnsi="Arial" w:cs="Arial"/>
          <w:b/>
          <w:sz w:val="18"/>
          <w:szCs w:val="18"/>
        </w:rPr>
      </w:pPr>
      <w:r>
        <w:rPr>
          <w:rFonts w:ascii="Arial" w:hAnsi="Arial"/>
          <w:b/>
          <w:sz w:val="18"/>
          <w:szCs w:val="18"/>
        </w:rPr>
        <w:t>Getzner Werkstoffe GmbH</w:t>
      </w:r>
    </w:p>
    <w:p w14:paraId="704BE928" w14:textId="77777777" w:rsidR="00A55842" w:rsidRPr="00601A62" w:rsidRDefault="00A55842" w:rsidP="00A55842">
      <w:pPr>
        <w:rPr>
          <w:rFonts w:ascii="Arial" w:hAnsi="Arial" w:cs="Arial"/>
          <w:sz w:val="18"/>
          <w:szCs w:val="18"/>
        </w:rPr>
      </w:pPr>
      <w:r>
        <w:rPr>
          <w:rFonts w:ascii="Arial" w:hAnsi="Arial"/>
          <w:sz w:val="18"/>
          <w:szCs w:val="18"/>
        </w:rPr>
        <w:t>Getzner Werkstoffe est le spécialiste leader en matière d’isolation des vibrations et des secousses. L’entreprise a été fondée en 1969 en tant que filiale de Getzner Mutter &amp; Cie. Nos solutions reposent sur l’utilisation des produits Sylomer®, Sylodyn®, Sylodamp® et Isotop®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
    <w:p w14:paraId="2B3C9FEA" w14:textId="77777777" w:rsidR="00A55842" w:rsidRPr="00601A62" w:rsidRDefault="00A55842" w:rsidP="00A55842">
      <w:pPr>
        <w:rPr>
          <w:rFonts w:ascii="Arial" w:hAnsi="Arial" w:cs="Arial"/>
          <w:sz w:val="18"/>
          <w:szCs w:val="18"/>
        </w:rPr>
      </w:pPr>
    </w:p>
    <w:p w14:paraId="4FCF9B90" w14:textId="1C3B08AD" w:rsidR="00A55842" w:rsidRDefault="00A55842" w:rsidP="00A55842">
      <w:pPr>
        <w:rPr>
          <w:rFonts w:ascii="Arial" w:hAnsi="Arial" w:cs="Arial"/>
          <w:sz w:val="18"/>
          <w:szCs w:val="18"/>
        </w:rPr>
      </w:pPr>
      <w:r>
        <w:rPr>
          <w:rFonts w:ascii="Arial" w:hAnsi="Arial"/>
          <w:sz w:val="18"/>
          <w:szCs w:val="18"/>
        </w:rPr>
        <w:t>Getzner commercialise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6A8FCF0F" w14:textId="114C7DCD" w:rsidR="004C612D" w:rsidRDefault="004C612D" w:rsidP="00A55842">
      <w:pPr>
        <w:rPr>
          <w:rFonts w:ascii="Arial" w:hAnsi="Arial" w:cs="Arial"/>
          <w:sz w:val="18"/>
          <w:szCs w:val="18"/>
        </w:rPr>
      </w:pPr>
    </w:p>
    <w:p w14:paraId="2A0753EF" w14:textId="3E82CF54" w:rsidR="004C612D" w:rsidRDefault="009A745C" w:rsidP="00A55842">
      <w:pPr>
        <w:rPr>
          <w:rFonts w:ascii="Arial" w:hAnsi="Arial" w:cs="Arial"/>
          <w:sz w:val="18"/>
          <w:szCs w:val="18"/>
        </w:rPr>
      </w:pPr>
      <w:r>
        <w:rPr>
          <w:noProof/>
          <w:lang w:val="de-AT" w:eastAsia="de-AT"/>
        </w:rPr>
        <w:drawing>
          <wp:anchor distT="0" distB="0" distL="114300" distR="114300" simplePos="0" relativeHeight="251658240" behindDoc="1" locked="0" layoutInCell="1" allowOverlap="1" wp14:anchorId="41817B68" wp14:editId="543B1515">
            <wp:simplePos x="0" y="0"/>
            <wp:positionH relativeFrom="margin">
              <wp:posOffset>-16207</wp:posOffset>
            </wp:positionH>
            <wp:positionV relativeFrom="margin">
              <wp:posOffset>4406707</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2BB75C" w14:textId="77777777" w:rsidR="004C612D" w:rsidRDefault="004C612D" w:rsidP="00A55842">
      <w:pPr>
        <w:rPr>
          <w:rFonts w:ascii="Arial" w:hAnsi="Arial" w:cs="Arial"/>
          <w:sz w:val="18"/>
          <w:szCs w:val="18"/>
        </w:rPr>
      </w:pPr>
    </w:p>
    <w:p w14:paraId="062645D4" w14:textId="77777777" w:rsidR="006525A9" w:rsidRDefault="006525A9" w:rsidP="003145A3">
      <w:pPr>
        <w:ind w:firstLine="142"/>
        <w:rPr>
          <w:rFonts w:ascii="Arial" w:hAnsi="Arial" w:cs="Arial"/>
          <w:sz w:val="18"/>
          <w:szCs w:val="18"/>
        </w:rPr>
      </w:pPr>
    </w:p>
    <w:p w14:paraId="05517DCE" w14:textId="77777777" w:rsidR="004C612D" w:rsidRDefault="006525A9" w:rsidP="003145A3">
      <w:pPr>
        <w:ind w:left="1560"/>
        <w:rPr>
          <w:rFonts w:ascii="Arial" w:hAnsi="Arial" w:cs="Arial"/>
          <w:b/>
          <w:sz w:val="18"/>
          <w:szCs w:val="18"/>
        </w:rPr>
      </w:pPr>
      <w:r>
        <w:rPr>
          <w:rFonts w:ascii="Arial" w:hAnsi="Arial"/>
          <w:b/>
          <w:sz w:val="18"/>
          <w:szCs w:val="18"/>
        </w:rPr>
        <w:t>En 2018, Getzner, Mutter &amp; Cie., Getzner Werkstoffe et Getzner Textil fêtent leurs 200 années d’existence.</w:t>
      </w:r>
    </w:p>
    <w:p w14:paraId="22540C9F" w14:textId="77777777" w:rsidR="004C612D" w:rsidRDefault="004C612D" w:rsidP="00A55842">
      <w:pPr>
        <w:rPr>
          <w:rFonts w:ascii="Arial" w:hAnsi="Arial" w:cs="Arial"/>
          <w:b/>
          <w:sz w:val="18"/>
          <w:szCs w:val="18"/>
        </w:rPr>
      </w:pPr>
    </w:p>
    <w:p w14:paraId="0D74FFDD" w14:textId="77777777" w:rsidR="006525A9" w:rsidRPr="006945BF" w:rsidRDefault="006525A9" w:rsidP="00A55842">
      <w:pPr>
        <w:rPr>
          <w:rFonts w:ascii="Arial" w:hAnsi="Arial" w:cs="Arial"/>
          <w:b/>
          <w:sz w:val="18"/>
          <w:szCs w:val="18"/>
        </w:rPr>
      </w:pPr>
    </w:p>
    <w:p w14:paraId="5C887B6E" w14:textId="77777777" w:rsidR="00A55842" w:rsidRPr="00601A62" w:rsidRDefault="00A55842" w:rsidP="00A55842">
      <w:pPr>
        <w:rPr>
          <w:rFonts w:ascii="Arial" w:hAnsi="Arial" w:cs="Arial"/>
          <w:sz w:val="18"/>
          <w:szCs w:val="18"/>
        </w:rPr>
      </w:pPr>
    </w:p>
    <w:p w14:paraId="7AF40300" w14:textId="77777777" w:rsidR="00A55842" w:rsidRPr="00601A62" w:rsidRDefault="00A55842" w:rsidP="00A55842">
      <w:pPr>
        <w:rPr>
          <w:rFonts w:ascii="Arial" w:hAnsi="Arial" w:cs="Arial"/>
          <w:b/>
          <w:sz w:val="18"/>
          <w:szCs w:val="18"/>
        </w:rPr>
      </w:pPr>
      <w:r>
        <w:rPr>
          <w:rFonts w:ascii="Arial" w:hAnsi="Arial"/>
          <w:b/>
          <w:sz w:val="18"/>
          <w:szCs w:val="18"/>
        </w:rPr>
        <w:t xml:space="preserve">Getzner Werkstoffe GmbH – faits et chiffres </w:t>
      </w:r>
    </w:p>
    <w:p w14:paraId="7E24013F" w14:textId="77777777" w:rsidR="00A55842" w:rsidRPr="00601A62" w:rsidRDefault="00A55842" w:rsidP="00A55842">
      <w:pPr>
        <w:rPr>
          <w:rFonts w:ascii="Arial" w:hAnsi="Arial"/>
          <w:sz w:val="18"/>
          <w:szCs w:val="18"/>
        </w:rPr>
      </w:pPr>
      <w:r>
        <w:rPr>
          <w:rFonts w:ascii="Arial" w:hAnsi="Arial"/>
          <w:sz w:val="18"/>
          <w:szCs w:val="18"/>
        </w:rPr>
        <w:t>Fondation :</w:t>
      </w:r>
      <w:r>
        <w:rPr>
          <w:rFonts w:ascii="Arial" w:hAnsi="Arial"/>
          <w:sz w:val="18"/>
          <w:szCs w:val="18"/>
        </w:rPr>
        <w:tab/>
      </w:r>
      <w:r>
        <w:rPr>
          <w:rFonts w:ascii="Arial" w:hAnsi="Arial"/>
          <w:sz w:val="18"/>
          <w:szCs w:val="18"/>
        </w:rPr>
        <w:tab/>
        <w:t>1969 (en tant que filiale de la société Getzner, Mutter &amp; Cie)</w:t>
      </w:r>
    </w:p>
    <w:p w14:paraId="4650BD9B" w14:textId="3B58A9A6" w:rsidR="00A55842" w:rsidRPr="00601A62" w:rsidRDefault="00A55842" w:rsidP="00A55842">
      <w:pPr>
        <w:rPr>
          <w:rFonts w:ascii="Arial" w:hAnsi="Arial"/>
          <w:sz w:val="18"/>
          <w:szCs w:val="18"/>
        </w:rPr>
      </w:pPr>
      <w:r>
        <w:rPr>
          <w:rFonts w:ascii="Arial" w:hAnsi="Arial"/>
          <w:sz w:val="18"/>
          <w:szCs w:val="18"/>
        </w:rPr>
        <w:t xml:space="preserve">Directeur général : </w:t>
      </w:r>
      <w:r>
        <w:rPr>
          <w:rFonts w:ascii="Arial" w:hAnsi="Arial"/>
          <w:sz w:val="18"/>
          <w:szCs w:val="18"/>
        </w:rPr>
        <w:tab/>
        <w:t>Jürgen Rainalter, ingénieur</w:t>
      </w:r>
    </w:p>
    <w:p w14:paraId="2286B68E" w14:textId="77777777" w:rsidR="00A55842" w:rsidRPr="00601A62" w:rsidRDefault="00304944" w:rsidP="00A55842">
      <w:pPr>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420 (dont 290 sur le site de Buers)</w:t>
      </w:r>
    </w:p>
    <w:p w14:paraId="251637DC" w14:textId="63602F90" w:rsidR="00A55842" w:rsidRPr="00601A62" w:rsidRDefault="00DC51CE" w:rsidP="00A55842">
      <w:pPr>
        <w:rPr>
          <w:rFonts w:ascii="Arial" w:hAnsi="Arial"/>
          <w:sz w:val="18"/>
          <w:szCs w:val="18"/>
        </w:rPr>
      </w:pPr>
      <w:r>
        <w:rPr>
          <w:rFonts w:ascii="Arial" w:hAnsi="Arial"/>
          <w:sz w:val="18"/>
          <w:szCs w:val="18"/>
        </w:rPr>
        <w:t>Chiffre d’affaires 2017 :</w:t>
      </w:r>
      <w:r>
        <w:rPr>
          <w:rFonts w:ascii="Arial" w:hAnsi="Arial"/>
          <w:sz w:val="18"/>
          <w:szCs w:val="18"/>
        </w:rPr>
        <w:tab/>
        <w:t>95</w:t>
      </w:r>
      <w:r w:rsidR="00304944">
        <w:rPr>
          <w:rFonts w:ascii="Arial" w:hAnsi="Arial"/>
          <w:sz w:val="18"/>
          <w:szCs w:val="18"/>
        </w:rPr>
        <w:t>,2 millions d’euros</w:t>
      </w:r>
    </w:p>
    <w:p w14:paraId="6069B754" w14:textId="77777777" w:rsidR="00A55842" w:rsidRPr="00601A62" w:rsidRDefault="00A55842" w:rsidP="00A55842">
      <w:pPr>
        <w:rPr>
          <w:rFonts w:ascii="Arial" w:hAnsi="Arial"/>
          <w:sz w:val="18"/>
          <w:szCs w:val="18"/>
        </w:rPr>
      </w:pPr>
      <w:r>
        <w:rPr>
          <w:rFonts w:ascii="Arial" w:hAnsi="Arial"/>
          <w:sz w:val="18"/>
          <w:szCs w:val="18"/>
        </w:rPr>
        <w:t>Secteurs d’activité :</w:t>
      </w:r>
      <w:r>
        <w:rPr>
          <w:rFonts w:ascii="Arial" w:hAnsi="Arial"/>
          <w:sz w:val="18"/>
          <w:szCs w:val="18"/>
        </w:rPr>
        <w:tab/>
        <w:t>Ferroviaire, bâtiment, industrie</w:t>
      </w:r>
    </w:p>
    <w:p w14:paraId="52AB0B80" w14:textId="3606BD24" w:rsidR="00A55842" w:rsidRPr="00601A62" w:rsidRDefault="00A55842" w:rsidP="00A55842">
      <w:pPr>
        <w:rPr>
          <w:rFonts w:ascii="Arial" w:hAnsi="Arial"/>
          <w:sz w:val="18"/>
          <w:szCs w:val="18"/>
        </w:rPr>
      </w:pPr>
      <w:r>
        <w:rPr>
          <w:rFonts w:ascii="Arial" w:hAnsi="Arial"/>
          <w:sz w:val="18"/>
          <w:szCs w:val="18"/>
        </w:rPr>
        <w:t xml:space="preserve">Siège social : </w:t>
      </w:r>
      <w:r>
        <w:rPr>
          <w:rFonts w:ascii="Arial" w:hAnsi="Arial"/>
          <w:sz w:val="18"/>
          <w:szCs w:val="18"/>
        </w:rPr>
        <w:tab/>
      </w:r>
      <w:r>
        <w:rPr>
          <w:rFonts w:ascii="Arial" w:hAnsi="Arial"/>
          <w:sz w:val="18"/>
          <w:szCs w:val="18"/>
        </w:rPr>
        <w:tab/>
        <w:t>Buers (AT)</w:t>
      </w:r>
      <w:r>
        <w:rPr>
          <w:rFonts w:ascii="Arial" w:hAnsi="Arial"/>
          <w:sz w:val="18"/>
          <w:szCs w:val="18"/>
        </w:rPr>
        <w:br/>
        <w:t>Sites :</w:t>
      </w:r>
      <w:r>
        <w:rPr>
          <w:rFonts w:ascii="Arial" w:hAnsi="Arial"/>
          <w:sz w:val="18"/>
          <w:szCs w:val="18"/>
        </w:rPr>
        <w:tab/>
      </w:r>
      <w:r>
        <w:rPr>
          <w:rFonts w:ascii="Arial" w:hAnsi="Arial"/>
          <w:sz w:val="18"/>
          <w:szCs w:val="18"/>
        </w:rPr>
        <w:tab/>
      </w:r>
      <w:r w:rsidR="009A745C">
        <w:rPr>
          <w:rFonts w:ascii="Arial" w:hAnsi="Arial"/>
          <w:sz w:val="18"/>
          <w:szCs w:val="18"/>
        </w:rPr>
        <w:tab/>
      </w:r>
      <w:r>
        <w:rPr>
          <w:rFonts w:ascii="Arial" w:hAnsi="Arial"/>
          <w:sz w:val="18"/>
          <w:szCs w:val="18"/>
        </w:rPr>
        <w:t xml:space="preserve">Pékin,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06E4FC41" w14:textId="3B92D569" w:rsidR="00A55842" w:rsidRPr="00601A62" w:rsidRDefault="00304944" w:rsidP="00A55842">
      <w:pPr>
        <w:rPr>
          <w:rFonts w:ascii="Arial" w:hAnsi="Arial"/>
          <w:sz w:val="18"/>
          <w:szCs w:val="18"/>
        </w:rPr>
      </w:pPr>
      <w:r>
        <w:rPr>
          <w:rFonts w:ascii="Arial" w:hAnsi="Arial"/>
          <w:sz w:val="18"/>
          <w:szCs w:val="18"/>
        </w:rPr>
        <w:t>Part des exportations :</w:t>
      </w:r>
      <w:r>
        <w:rPr>
          <w:rFonts w:ascii="Arial" w:hAnsi="Arial"/>
          <w:sz w:val="18"/>
          <w:szCs w:val="18"/>
        </w:rPr>
        <w:tab/>
        <w:t>94 %</w:t>
      </w:r>
    </w:p>
    <w:p w14:paraId="19ADF96C" w14:textId="77777777" w:rsidR="00A55842" w:rsidRPr="00601A62" w:rsidRDefault="00A55842" w:rsidP="00A55842">
      <w:pPr>
        <w:rPr>
          <w:sz w:val="18"/>
          <w:szCs w:val="18"/>
        </w:rPr>
      </w:pPr>
    </w:p>
    <w:p w14:paraId="4246535D"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21F84C8C" w14:textId="77777777" w:rsidTr="00E4177F">
        <w:tc>
          <w:tcPr>
            <w:tcW w:w="4606" w:type="dxa"/>
            <w:shd w:val="clear" w:color="auto" w:fill="auto"/>
          </w:tcPr>
          <w:p w14:paraId="1EF8FA4B" w14:textId="77777777" w:rsidR="00A55842" w:rsidRPr="00601A62" w:rsidRDefault="00A55842" w:rsidP="00E4177F">
            <w:pPr>
              <w:rPr>
                <w:rFonts w:ascii="Arial" w:eastAsia="Times New Roman" w:hAnsi="Arial" w:cs="Arial"/>
                <w:b/>
                <w:sz w:val="22"/>
                <w:szCs w:val="22"/>
              </w:rPr>
            </w:pPr>
            <w:r>
              <w:rPr>
                <w:rFonts w:ascii="Arial" w:hAnsi="Arial"/>
                <w:b/>
                <w:sz w:val="22"/>
                <w:szCs w:val="22"/>
              </w:rPr>
              <w:t>Informations complémentaires :</w:t>
            </w:r>
          </w:p>
          <w:p w14:paraId="50A6CB1D" w14:textId="77777777" w:rsidR="00A55842" w:rsidRPr="00601A62" w:rsidRDefault="00A55842" w:rsidP="00E4177F">
            <w:pPr>
              <w:rPr>
                <w:rFonts w:ascii="Arial" w:eastAsia="Times New Roman" w:hAnsi="Arial" w:cs="Arial"/>
                <w:sz w:val="22"/>
                <w:szCs w:val="22"/>
              </w:rPr>
            </w:pPr>
            <w:r>
              <w:rPr>
                <w:rFonts w:ascii="Arial" w:hAnsi="Arial"/>
                <w:sz w:val="22"/>
                <w:szCs w:val="22"/>
              </w:rPr>
              <w:t>Getzner Werkstoffe GmbH</w:t>
            </w:r>
          </w:p>
          <w:p w14:paraId="29CAF665" w14:textId="77777777" w:rsidR="005446B7" w:rsidRPr="00601A62" w:rsidRDefault="005446B7" w:rsidP="005446B7">
            <w:pPr>
              <w:rPr>
                <w:rFonts w:ascii="Arial" w:eastAsia="Times New Roman" w:hAnsi="Arial" w:cs="Arial"/>
                <w:sz w:val="22"/>
                <w:szCs w:val="22"/>
              </w:rPr>
            </w:pPr>
            <w:r>
              <w:rPr>
                <w:rFonts w:ascii="Arial" w:hAnsi="Arial"/>
                <w:sz w:val="22"/>
                <w:szCs w:val="22"/>
              </w:rPr>
              <w:t>Andreas Mallaun</w:t>
            </w:r>
          </w:p>
          <w:p w14:paraId="6A5B58E1" w14:textId="77777777" w:rsidR="005446B7" w:rsidRPr="00601A62" w:rsidRDefault="005446B7" w:rsidP="005446B7">
            <w:pPr>
              <w:rPr>
                <w:rFonts w:ascii="Arial" w:eastAsia="Times New Roman" w:hAnsi="Arial" w:cs="Arial"/>
                <w:sz w:val="22"/>
                <w:szCs w:val="22"/>
              </w:rPr>
            </w:pPr>
            <w:r>
              <w:rPr>
                <w:rFonts w:ascii="Arial" w:hAnsi="Arial"/>
                <w:sz w:val="22"/>
                <w:szCs w:val="22"/>
              </w:rPr>
              <w:t>T +43-5552-201-1863</w:t>
            </w:r>
          </w:p>
          <w:p w14:paraId="4D6DA7EC" w14:textId="77777777" w:rsidR="00A55842" w:rsidRPr="00601A62" w:rsidRDefault="005446B7" w:rsidP="005446B7">
            <w:pPr>
              <w:rPr>
                <w:rFonts w:ascii="Arial" w:eastAsia="Times New Roman" w:hAnsi="Arial" w:cs="Arial"/>
                <w:sz w:val="22"/>
                <w:szCs w:val="22"/>
              </w:rPr>
            </w:pPr>
            <w:r>
              <w:rPr>
                <w:rFonts w:ascii="Arial" w:hAnsi="Arial"/>
                <w:sz w:val="22"/>
                <w:szCs w:val="22"/>
              </w:rPr>
              <w:t>andreas.mallaun@getzner.com</w:t>
            </w:r>
          </w:p>
        </w:tc>
        <w:tc>
          <w:tcPr>
            <w:tcW w:w="4606" w:type="dxa"/>
            <w:shd w:val="clear" w:color="auto" w:fill="auto"/>
          </w:tcPr>
          <w:p w14:paraId="02CFF011" w14:textId="77777777" w:rsidR="00A55842" w:rsidRPr="00DC51CE" w:rsidRDefault="00A55842" w:rsidP="00E4177F">
            <w:pPr>
              <w:rPr>
                <w:rFonts w:ascii="Arial" w:eastAsia="Times New Roman" w:hAnsi="Arial" w:cs="Arial"/>
                <w:sz w:val="22"/>
                <w:szCs w:val="22"/>
                <w:lang w:val="de-AT"/>
              </w:rPr>
            </w:pPr>
            <w:r w:rsidRPr="00DC51CE">
              <w:rPr>
                <w:rFonts w:ascii="Arial" w:hAnsi="Arial"/>
                <w:sz w:val="22"/>
                <w:szCs w:val="22"/>
                <w:lang w:val="de-AT"/>
              </w:rPr>
              <w:t>Contact presse :</w:t>
            </w:r>
          </w:p>
          <w:p w14:paraId="7E395BCB" w14:textId="77777777" w:rsidR="00A55842" w:rsidRPr="00DC51CE" w:rsidRDefault="00A55842" w:rsidP="00E4177F">
            <w:pPr>
              <w:rPr>
                <w:rFonts w:ascii="Arial" w:eastAsia="Times New Roman" w:hAnsi="Arial" w:cs="Arial"/>
                <w:sz w:val="22"/>
                <w:szCs w:val="22"/>
                <w:lang w:val="de-AT"/>
              </w:rPr>
            </w:pPr>
            <w:r w:rsidRPr="00DC51CE">
              <w:rPr>
                <w:rFonts w:ascii="Arial" w:hAnsi="Arial"/>
                <w:sz w:val="22"/>
                <w:szCs w:val="22"/>
                <w:lang w:val="de-AT"/>
              </w:rPr>
              <w:t>ikp Vorarlberg GmbH</w:t>
            </w:r>
          </w:p>
          <w:p w14:paraId="79836D9C" w14:textId="77777777" w:rsidR="00A55842" w:rsidRPr="00DC51CE" w:rsidRDefault="00A55842" w:rsidP="00E4177F">
            <w:pPr>
              <w:rPr>
                <w:rFonts w:ascii="Arial" w:eastAsia="Times New Roman" w:hAnsi="Arial" w:cs="Arial"/>
                <w:sz w:val="22"/>
                <w:szCs w:val="22"/>
                <w:lang w:val="de-AT"/>
              </w:rPr>
            </w:pPr>
            <w:r w:rsidRPr="00DC51CE">
              <w:rPr>
                <w:rFonts w:ascii="Arial" w:hAnsi="Arial"/>
                <w:sz w:val="22"/>
                <w:szCs w:val="22"/>
                <w:lang w:val="de-AT"/>
              </w:rPr>
              <w:t>Wanda Mikulec-Schwarz</w:t>
            </w:r>
          </w:p>
          <w:p w14:paraId="4210FBF9" w14:textId="77777777" w:rsidR="00A55842" w:rsidRPr="00601A62" w:rsidRDefault="00A55842" w:rsidP="00E4177F">
            <w:pPr>
              <w:rPr>
                <w:rFonts w:ascii="Arial" w:eastAsia="Times New Roman" w:hAnsi="Arial" w:cs="Arial"/>
                <w:sz w:val="22"/>
                <w:szCs w:val="22"/>
              </w:rPr>
            </w:pPr>
            <w:r>
              <w:rPr>
                <w:rFonts w:ascii="Arial" w:hAnsi="Arial"/>
                <w:sz w:val="22"/>
                <w:szCs w:val="22"/>
              </w:rPr>
              <w:t>T +43-5572-398811</w:t>
            </w:r>
          </w:p>
          <w:p w14:paraId="209F5481" w14:textId="77777777" w:rsidR="00A55842" w:rsidRPr="00601A62" w:rsidRDefault="00A55842" w:rsidP="00E4177F">
            <w:pPr>
              <w:rPr>
                <w:rFonts w:ascii="Arial" w:eastAsia="Times New Roman" w:hAnsi="Arial" w:cs="Arial"/>
                <w:sz w:val="22"/>
                <w:szCs w:val="22"/>
              </w:rPr>
            </w:pPr>
            <w:r>
              <w:rPr>
                <w:rFonts w:ascii="Arial" w:hAnsi="Arial"/>
                <w:sz w:val="22"/>
                <w:szCs w:val="22"/>
              </w:rPr>
              <w:t>wanda.schwarz@ikp.at</w:t>
            </w:r>
          </w:p>
          <w:p w14:paraId="1B799290" w14:textId="77777777" w:rsidR="00A55842" w:rsidRPr="00601A62" w:rsidRDefault="00A55842" w:rsidP="00E4177F">
            <w:pPr>
              <w:rPr>
                <w:rFonts w:ascii="Arial" w:eastAsia="Times New Roman" w:hAnsi="Arial" w:cs="Arial"/>
                <w:b/>
                <w:sz w:val="22"/>
                <w:szCs w:val="22"/>
                <w:lang w:eastAsia="de-AT"/>
              </w:rPr>
            </w:pPr>
          </w:p>
        </w:tc>
      </w:tr>
    </w:tbl>
    <w:p w14:paraId="4D9D4D1B" w14:textId="77777777" w:rsidR="00A55842" w:rsidRDefault="00A55842">
      <w:pPr>
        <w:rPr>
          <w:rFonts w:ascii="Arial" w:hAnsi="Arial"/>
          <w:b/>
          <w:sz w:val="22"/>
          <w:szCs w:val="22"/>
        </w:rPr>
      </w:pPr>
    </w:p>
    <w:p w14:paraId="26A3F221" w14:textId="77777777" w:rsidR="00042FB1" w:rsidRPr="00705D00" w:rsidRDefault="00042FB1" w:rsidP="00A710A6">
      <w:pPr>
        <w:rPr>
          <w:rFonts w:ascii="Arial" w:hAnsi="Arial"/>
          <w:color w:val="FF0000"/>
          <w:sz w:val="22"/>
          <w:szCs w:val="22"/>
        </w:rPr>
      </w:pPr>
    </w:p>
    <w:sectPr w:rsidR="00042FB1" w:rsidRPr="00705D00" w:rsidSect="0034325F">
      <w:headerReference w:type="default" r:id="rId16"/>
      <w:footerReference w:type="default" r:id="rId17"/>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53B57" w14:textId="77777777" w:rsidR="00704AAA" w:rsidRDefault="00704AAA">
      <w:r>
        <w:separator/>
      </w:r>
    </w:p>
  </w:endnote>
  <w:endnote w:type="continuationSeparator" w:id="0">
    <w:p w14:paraId="3EEE9B4E" w14:textId="77777777" w:rsidR="00704AAA" w:rsidRDefault="00704AAA">
      <w:r>
        <w:continuationSeparator/>
      </w:r>
    </w:p>
  </w:endnote>
  <w:endnote w:type="continuationNotice" w:id="1">
    <w:p w14:paraId="4B3B27CF" w14:textId="77777777" w:rsidR="00704AAA" w:rsidRDefault="00704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BC1D5"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39227" w14:textId="77777777" w:rsidR="00704AAA" w:rsidRDefault="00704AAA">
      <w:r>
        <w:separator/>
      </w:r>
    </w:p>
  </w:footnote>
  <w:footnote w:type="continuationSeparator" w:id="0">
    <w:p w14:paraId="4960BE50" w14:textId="77777777" w:rsidR="00704AAA" w:rsidRDefault="00704AAA">
      <w:r>
        <w:continuationSeparator/>
      </w:r>
    </w:p>
  </w:footnote>
  <w:footnote w:type="continuationNotice" w:id="1">
    <w:p w14:paraId="71423869" w14:textId="77777777" w:rsidR="00704AAA" w:rsidRDefault="00704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5AEF"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80A"/>
    <w:rsid w:val="002D0BDD"/>
    <w:rsid w:val="002D1E37"/>
    <w:rsid w:val="002D50D7"/>
    <w:rsid w:val="002D78A8"/>
    <w:rsid w:val="002F7DEB"/>
    <w:rsid w:val="00304944"/>
    <w:rsid w:val="00313021"/>
    <w:rsid w:val="00313C96"/>
    <w:rsid w:val="003145A3"/>
    <w:rsid w:val="003215A0"/>
    <w:rsid w:val="0032672E"/>
    <w:rsid w:val="00333623"/>
    <w:rsid w:val="00334481"/>
    <w:rsid w:val="00337AD8"/>
    <w:rsid w:val="0034325F"/>
    <w:rsid w:val="0034487E"/>
    <w:rsid w:val="00345381"/>
    <w:rsid w:val="0035652B"/>
    <w:rsid w:val="00361D6E"/>
    <w:rsid w:val="00362F75"/>
    <w:rsid w:val="003645A1"/>
    <w:rsid w:val="00365EB7"/>
    <w:rsid w:val="00366B6F"/>
    <w:rsid w:val="0037402F"/>
    <w:rsid w:val="00374E00"/>
    <w:rsid w:val="00383C18"/>
    <w:rsid w:val="00386145"/>
    <w:rsid w:val="00393277"/>
    <w:rsid w:val="003951C9"/>
    <w:rsid w:val="00396C1A"/>
    <w:rsid w:val="003B03F1"/>
    <w:rsid w:val="003B395A"/>
    <w:rsid w:val="003B7F39"/>
    <w:rsid w:val="003C0691"/>
    <w:rsid w:val="003C36D8"/>
    <w:rsid w:val="003C4B7A"/>
    <w:rsid w:val="003C4D13"/>
    <w:rsid w:val="003C559F"/>
    <w:rsid w:val="003D45D4"/>
    <w:rsid w:val="003E036D"/>
    <w:rsid w:val="003E0D13"/>
    <w:rsid w:val="003E3B2A"/>
    <w:rsid w:val="003F1817"/>
    <w:rsid w:val="003F48DE"/>
    <w:rsid w:val="003F6E36"/>
    <w:rsid w:val="004023CA"/>
    <w:rsid w:val="00403BB0"/>
    <w:rsid w:val="0040665B"/>
    <w:rsid w:val="004117E5"/>
    <w:rsid w:val="004148F1"/>
    <w:rsid w:val="0042450F"/>
    <w:rsid w:val="004246ED"/>
    <w:rsid w:val="00427E46"/>
    <w:rsid w:val="00434A8D"/>
    <w:rsid w:val="00434CE6"/>
    <w:rsid w:val="00436B60"/>
    <w:rsid w:val="00437A6D"/>
    <w:rsid w:val="00440EBB"/>
    <w:rsid w:val="0044541D"/>
    <w:rsid w:val="00446A7B"/>
    <w:rsid w:val="004479BF"/>
    <w:rsid w:val="00450C43"/>
    <w:rsid w:val="00451046"/>
    <w:rsid w:val="00451D89"/>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4ABA"/>
    <w:rsid w:val="004C612D"/>
    <w:rsid w:val="004C61B6"/>
    <w:rsid w:val="004D0AEE"/>
    <w:rsid w:val="004D0F17"/>
    <w:rsid w:val="004D15E2"/>
    <w:rsid w:val="004D2442"/>
    <w:rsid w:val="004D30C6"/>
    <w:rsid w:val="004D4395"/>
    <w:rsid w:val="004D7E74"/>
    <w:rsid w:val="004E0F82"/>
    <w:rsid w:val="004E4C9A"/>
    <w:rsid w:val="004F4AC0"/>
    <w:rsid w:val="004F5541"/>
    <w:rsid w:val="00510DC9"/>
    <w:rsid w:val="005209F9"/>
    <w:rsid w:val="00535EC6"/>
    <w:rsid w:val="0054160B"/>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5FD"/>
    <w:rsid w:val="005B7EB1"/>
    <w:rsid w:val="005C016B"/>
    <w:rsid w:val="005C1293"/>
    <w:rsid w:val="005C4341"/>
    <w:rsid w:val="005D5779"/>
    <w:rsid w:val="005D7E09"/>
    <w:rsid w:val="005E0F36"/>
    <w:rsid w:val="005E14F9"/>
    <w:rsid w:val="005E34D6"/>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F8D"/>
    <w:rsid w:val="006763DA"/>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9C5"/>
    <w:rsid w:val="00730991"/>
    <w:rsid w:val="007432CE"/>
    <w:rsid w:val="007475AE"/>
    <w:rsid w:val="007505FE"/>
    <w:rsid w:val="00754159"/>
    <w:rsid w:val="00764B90"/>
    <w:rsid w:val="00766B37"/>
    <w:rsid w:val="00777576"/>
    <w:rsid w:val="00780112"/>
    <w:rsid w:val="007818DB"/>
    <w:rsid w:val="00783FB6"/>
    <w:rsid w:val="00791EDB"/>
    <w:rsid w:val="00792308"/>
    <w:rsid w:val="00793A08"/>
    <w:rsid w:val="007A499B"/>
    <w:rsid w:val="007A6187"/>
    <w:rsid w:val="007B58D0"/>
    <w:rsid w:val="007C0A04"/>
    <w:rsid w:val="007C6E54"/>
    <w:rsid w:val="007C7563"/>
    <w:rsid w:val="007D04CB"/>
    <w:rsid w:val="007D5A4F"/>
    <w:rsid w:val="007D6D33"/>
    <w:rsid w:val="007D784B"/>
    <w:rsid w:val="007D79DB"/>
    <w:rsid w:val="007E41BA"/>
    <w:rsid w:val="007F78A1"/>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2020"/>
    <w:rsid w:val="008966BB"/>
    <w:rsid w:val="008A2D18"/>
    <w:rsid w:val="008A6310"/>
    <w:rsid w:val="008B3C8A"/>
    <w:rsid w:val="008C0C94"/>
    <w:rsid w:val="008C2917"/>
    <w:rsid w:val="008C3B41"/>
    <w:rsid w:val="008C519F"/>
    <w:rsid w:val="008D2447"/>
    <w:rsid w:val="008D32BD"/>
    <w:rsid w:val="008D53A8"/>
    <w:rsid w:val="008D5EAC"/>
    <w:rsid w:val="008D5F08"/>
    <w:rsid w:val="008D6442"/>
    <w:rsid w:val="008E50A6"/>
    <w:rsid w:val="008F20C0"/>
    <w:rsid w:val="008F3C4C"/>
    <w:rsid w:val="008F73D5"/>
    <w:rsid w:val="0090010D"/>
    <w:rsid w:val="00901BD7"/>
    <w:rsid w:val="00916EDB"/>
    <w:rsid w:val="00921254"/>
    <w:rsid w:val="00921266"/>
    <w:rsid w:val="009300CD"/>
    <w:rsid w:val="0094011B"/>
    <w:rsid w:val="00940594"/>
    <w:rsid w:val="009432E0"/>
    <w:rsid w:val="00946C6A"/>
    <w:rsid w:val="00963BC7"/>
    <w:rsid w:val="00965DEB"/>
    <w:rsid w:val="00972CCC"/>
    <w:rsid w:val="00973D14"/>
    <w:rsid w:val="00975764"/>
    <w:rsid w:val="00975DCB"/>
    <w:rsid w:val="009769FE"/>
    <w:rsid w:val="00980337"/>
    <w:rsid w:val="00983249"/>
    <w:rsid w:val="00985D2A"/>
    <w:rsid w:val="00990D16"/>
    <w:rsid w:val="00992431"/>
    <w:rsid w:val="009A0264"/>
    <w:rsid w:val="009A107C"/>
    <w:rsid w:val="009A1C3E"/>
    <w:rsid w:val="009A494C"/>
    <w:rsid w:val="009A56FD"/>
    <w:rsid w:val="009A5874"/>
    <w:rsid w:val="009A745C"/>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4B8F"/>
    <w:rsid w:val="00A960E2"/>
    <w:rsid w:val="00A96C8E"/>
    <w:rsid w:val="00AA07B3"/>
    <w:rsid w:val="00AA112C"/>
    <w:rsid w:val="00AA16E7"/>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54057"/>
    <w:rsid w:val="00B67834"/>
    <w:rsid w:val="00B80E1A"/>
    <w:rsid w:val="00B8116D"/>
    <w:rsid w:val="00B84068"/>
    <w:rsid w:val="00B86656"/>
    <w:rsid w:val="00B90F35"/>
    <w:rsid w:val="00B92815"/>
    <w:rsid w:val="00B95843"/>
    <w:rsid w:val="00BA081C"/>
    <w:rsid w:val="00BA2444"/>
    <w:rsid w:val="00BA2A50"/>
    <w:rsid w:val="00BA3C68"/>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B06"/>
    <w:rsid w:val="00C70E0F"/>
    <w:rsid w:val="00C71E0A"/>
    <w:rsid w:val="00C73164"/>
    <w:rsid w:val="00C73633"/>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56B1"/>
    <w:rsid w:val="00CB7B84"/>
    <w:rsid w:val="00CC4A9A"/>
    <w:rsid w:val="00CC55FC"/>
    <w:rsid w:val="00CD0BDF"/>
    <w:rsid w:val="00CD12A0"/>
    <w:rsid w:val="00CD33E1"/>
    <w:rsid w:val="00CE0289"/>
    <w:rsid w:val="00CE06E9"/>
    <w:rsid w:val="00CE148D"/>
    <w:rsid w:val="00CE5882"/>
    <w:rsid w:val="00CE6243"/>
    <w:rsid w:val="00CE7A2E"/>
    <w:rsid w:val="00CF07CE"/>
    <w:rsid w:val="00CF6289"/>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C51CE"/>
    <w:rsid w:val="00DD013C"/>
    <w:rsid w:val="00DD0B03"/>
    <w:rsid w:val="00DD1E98"/>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CF72025"/>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applications/batiment/acoustique-des-batiments" TargetMode="External"/><Relationship Id="rId13" Type="http://schemas.openxmlformats.org/officeDocument/2006/relationships/hyperlink" Target="https://getzner.us12.list-manage.com/track/click?u=60033daf23390e98ffe10986c&amp;id=f185619599&amp;e=4cf6728b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tzner.us12.list-manage.com/track/click?u=60033daf23390e98ffe10986c&amp;id=ca9479fdeb&amp;e=4cf6728b9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tzner.us12.list-manage.com/track/click?u=60033daf23390e98ffe10986c&amp;id=dc8d335071&amp;e=4cf6728b92"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getzner.us12.list-manage.com/track/click?u=60033daf23390e98ffe10986c&amp;id=a69d26c113&amp;e=4cf6728b9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fr/produits/sylomer" TargetMode="External"/><Relationship Id="rId14" Type="http://schemas.openxmlformats.org/officeDocument/2006/relationships/hyperlink" Target="https://getzner.us12.list-manage.com/track/click?u=60033daf23390e98ffe10986c&amp;id=6703bf4843&amp;e=4cf6728b92"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77561BE-C827-4056-886B-53A9F5DB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6914</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Mallaun Andreas</cp:lastModifiedBy>
  <cp:revision>6</cp:revision>
  <cp:lastPrinted>2018-04-03T13:36:00Z</cp:lastPrinted>
  <dcterms:created xsi:type="dcterms:W3CDTF">2018-04-03T13:46:00Z</dcterms:created>
  <dcterms:modified xsi:type="dcterms:W3CDTF">2018-04-13T07:56:00Z</dcterms:modified>
</cp:coreProperties>
</file>