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F6BF" w14:textId="77777777" w:rsidR="00463F75" w:rsidRPr="009A4584" w:rsidRDefault="00463F75" w:rsidP="00463F75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MSN-BL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393EF652" w14:textId="77777777" w:rsidR="00463F75" w:rsidRPr="009A4584" w:rsidRDefault="00463F75" w:rsidP="00463F75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3F7C8813" w14:textId="77777777" w:rsidR="00463F75" w:rsidRPr="009A4584" w:rsidRDefault="00463F75" w:rsidP="00463F75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277D040A" w14:textId="77777777" w:rsidR="00463F75" w:rsidRPr="009A4584" w:rsidRDefault="00463F75" w:rsidP="00463F75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0210C3E3" w14:textId="77777777" w:rsidR="00463F75" w:rsidRPr="009A4584" w:rsidRDefault="00463F75" w:rsidP="00463F75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58377D2E" w14:textId="77777777" w:rsidR="00463F75" w:rsidRPr="009A4584" w:rsidRDefault="00463F75" w:rsidP="00463F75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63CA43E0" w14:textId="77777777" w:rsidR="00463F75" w:rsidRPr="00463F75" w:rsidRDefault="00463F75" w:rsidP="00463F75">
      <w:pPr>
        <w:rPr>
          <w:rFonts w:ascii="Interstate-Light" w:hAnsi="Interstate-Light" w:cs="Arial"/>
          <w:sz w:val="18"/>
          <w:szCs w:val="18"/>
        </w:rPr>
      </w:pPr>
      <w:r w:rsidRPr="00463F75">
        <w:rPr>
          <w:rFonts w:ascii="Interstate-Light" w:hAnsi="Interstate-Light" w:cs="Arial"/>
          <w:sz w:val="18"/>
          <w:szCs w:val="18"/>
        </w:rPr>
        <w:t>Getzner Werkstoffe GmbH</w:t>
      </w:r>
    </w:p>
    <w:p w14:paraId="619AC403" w14:textId="77777777" w:rsidR="00463F75" w:rsidRPr="00CD1916" w:rsidRDefault="00463F75" w:rsidP="00463F75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095E868D" w14:textId="77777777" w:rsidR="00463F75" w:rsidRPr="00534EBF" w:rsidRDefault="00463F75" w:rsidP="00463F75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0A5C9270" w14:textId="77777777" w:rsidR="00463F75" w:rsidRPr="00463F75" w:rsidRDefault="00463F75" w:rsidP="00463F75">
      <w:pPr>
        <w:rPr>
          <w:rFonts w:ascii="Interstate-Light" w:hAnsi="Interstate-Light" w:cs="Arial"/>
          <w:sz w:val="18"/>
          <w:szCs w:val="18"/>
          <w:lang w:val="en-GB"/>
        </w:rPr>
      </w:pPr>
      <w:r w:rsidRPr="00463F75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1C6A838B" w14:textId="77777777" w:rsidR="00463F75" w:rsidRPr="00463F75" w:rsidRDefault="00463F75" w:rsidP="00463F75">
      <w:pPr>
        <w:rPr>
          <w:rFonts w:ascii="Interstate-Light" w:hAnsi="Interstate-Light" w:cs="Arial"/>
          <w:sz w:val="18"/>
          <w:szCs w:val="18"/>
          <w:lang w:val="en-GB"/>
        </w:rPr>
      </w:pPr>
      <w:r w:rsidRPr="00463F75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3D452F75" w14:textId="77777777" w:rsidR="00463F75" w:rsidRPr="00463F75" w:rsidRDefault="00463F75" w:rsidP="00463F75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223A6BAE" w14:textId="77777777" w:rsidR="00463F75" w:rsidRPr="00AD6106" w:rsidRDefault="00463F75" w:rsidP="00463F75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3641B353" w14:textId="77777777" w:rsidR="00463F75" w:rsidRPr="00AD6106" w:rsidRDefault="00463F75" w:rsidP="00463F75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1894B13" w14:textId="77777777" w:rsidR="00463F75" w:rsidRPr="000C649A" w:rsidRDefault="00463F75" w:rsidP="00463F75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MSN-BL - Steel spring block element</w:t>
      </w:r>
    </w:p>
    <w:p w14:paraId="5B11DC29" w14:textId="77777777" w:rsidR="00463F75" w:rsidRPr="000C649A" w:rsidRDefault="00463F75" w:rsidP="00463F75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5737FCF1" w14:textId="77777777" w:rsidR="00463F75" w:rsidRPr="00463F75" w:rsidRDefault="00463F75" w:rsidP="00463F75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463F75">
        <w:rPr>
          <w:rFonts w:ascii="Interstate-Black" w:hAnsi="Interstate-Black" w:cs="Arial"/>
          <w:bCs/>
          <w:sz w:val="20"/>
          <w:szCs w:val="20"/>
          <w:lang w:val="en-GB"/>
        </w:rPr>
        <w:t>Product properties</w:t>
      </w:r>
    </w:p>
    <w:p w14:paraId="19EF808C" w14:textId="77777777" w:rsidR="00463F75" w:rsidRPr="00463F75" w:rsidRDefault="00463F75" w:rsidP="00463F75">
      <w:pPr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463F75" w:rsidRPr="002B287D" w14:paraId="7CDA7702" w14:textId="77777777" w:rsidTr="004B6199">
        <w:tc>
          <w:tcPr>
            <w:tcW w:w="2268" w:type="dxa"/>
          </w:tcPr>
          <w:p w14:paraId="142329EB" w14:textId="77777777" w:rsidR="00463F75" w:rsidRPr="00463F75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240BD28C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749904D8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2D5BD751" w14:textId="77777777" w:rsidR="00463F75" w:rsidRPr="005B64C9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37601A37" w14:textId="77777777" w:rsidR="00463F75" w:rsidRPr="005B64C9" w:rsidRDefault="00463F75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463F75" w:rsidRPr="002B287D" w14:paraId="38878E5B" w14:textId="77777777" w:rsidTr="004B6199">
        <w:tc>
          <w:tcPr>
            <w:tcW w:w="2268" w:type="dxa"/>
            <w:vAlign w:val="center"/>
          </w:tcPr>
          <w:p w14:paraId="64148F6B" w14:textId="77777777" w:rsidR="00463F75" w:rsidRPr="005B64C9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03CEFA47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366439AE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3E05916B" w14:textId="77777777" w:rsidR="00463F75" w:rsidRPr="002444DD" w:rsidRDefault="00463F75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99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76A87B1A" w14:textId="77777777" w:rsidR="00463F75" w:rsidRPr="00DE3D05" w:rsidRDefault="00463F75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463F75" w:rsidRPr="002B287D" w14:paraId="1A5113F0" w14:textId="77777777" w:rsidTr="004B6199">
        <w:tc>
          <w:tcPr>
            <w:tcW w:w="2268" w:type="dxa"/>
            <w:vAlign w:val="center"/>
          </w:tcPr>
          <w:p w14:paraId="436D00EA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47C8F244" w14:textId="77777777" w:rsidR="00463F75" w:rsidRPr="000C649A" w:rsidRDefault="00463F75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0302EBB4" w14:textId="77777777" w:rsidR="00463F75" w:rsidRPr="000C649A" w:rsidRDefault="00463F75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Isotop® MSN - steel spring isolators, CDC-coated</w:t>
            </w:r>
          </w:p>
          <w:p w14:paraId="2219196E" w14:textId="77777777" w:rsidR="00463F75" w:rsidRPr="000C649A" w:rsidRDefault="00463F75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- 5 mm steel top plate and base plate, black powder-coated</w:t>
            </w:r>
          </w:p>
          <w:p w14:paraId="37F15DEA" w14:textId="77777777" w:rsidR="00463F75" w:rsidRPr="000C649A" w:rsidRDefault="00463F75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Top plate and base plate with 4 mm Sylomer® anti-slip plate</w:t>
            </w:r>
          </w:p>
          <w:p w14:paraId="41ACB964" w14:textId="77777777" w:rsidR="00463F75" w:rsidRPr="00DE3D05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463F75" w:rsidRPr="00277027" w14:paraId="578D73DE" w14:textId="77777777" w:rsidTr="004B6199">
        <w:tc>
          <w:tcPr>
            <w:tcW w:w="2268" w:type="dxa"/>
            <w:vAlign w:val="center"/>
          </w:tcPr>
          <w:p w14:paraId="3376932A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66F875D7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4CDB329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210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425F27FA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463F75" w:rsidRPr="00277027" w14:paraId="5E7A5E31" w14:textId="77777777" w:rsidTr="004B6199">
        <w:tc>
          <w:tcPr>
            <w:tcW w:w="2268" w:type="dxa"/>
            <w:vAlign w:val="center"/>
          </w:tcPr>
          <w:p w14:paraId="68A2E184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4BB264F0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5D718D1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117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800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77DFC44B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463F75" w:rsidRPr="00277027" w14:paraId="77AC2A97" w14:textId="77777777" w:rsidTr="004B6199">
        <w:tc>
          <w:tcPr>
            <w:tcW w:w="2268" w:type="dxa"/>
          </w:tcPr>
          <w:p w14:paraId="177C5BD7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8DBF903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49EC9A84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4F09D29" w14:textId="77777777" w:rsidR="00463F75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DC9F440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463F75" w:rsidRPr="00277027" w14:paraId="09679102" w14:textId="77777777" w:rsidTr="004B6199">
        <w:tc>
          <w:tcPr>
            <w:tcW w:w="2268" w:type="dxa"/>
          </w:tcPr>
          <w:p w14:paraId="22EAE010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27A28D5F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22163AE6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9DE44AC" w14:textId="77777777" w:rsidR="00463F75" w:rsidRPr="00077879" w:rsidRDefault="00463F75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EFD6062" w14:textId="77777777" w:rsidR="00463F75" w:rsidRPr="00277027" w:rsidRDefault="00463F75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463F75" w:rsidRPr="00277027" w14:paraId="137FB8BE" w14:textId="77777777" w:rsidTr="004B6199">
        <w:tc>
          <w:tcPr>
            <w:tcW w:w="2268" w:type="dxa"/>
          </w:tcPr>
          <w:p w14:paraId="6532A183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26B09BC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3F6167C2" w14:textId="77777777" w:rsidR="00463F75" w:rsidRPr="00277027" w:rsidRDefault="00463F7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6D65DFD" w14:textId="77777777" w:rsidR="00463F75" w:rsidRDefault="00463F75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38E06497" w14:textId="77777777" w:rsidR="00463F75" w:rsidRPr="00277027" w:rsidRDefault="00463F75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8EB1269" wp14:editId="1D2E3EC8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82001641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104EC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22B4312" wp14:editId="20B8B6CC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451508112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7F75C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9497EDB" wp14:editId="4394941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92884187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904B1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25DF1A3B" w14:textId="77777777" w:rsidR="00463F75" w:rsidRPr="00277027" w:rsidRDefault="00463F75" w:rsidP="00463F75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7AFE0EAA" w14:textId="77777777" w:rsidR="00463F75" w:rsidRPr="005B64C9" w:rsidRDefault="00463F75" w:rsidP="00463F75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7F8589AA" w14:textId="77777777" w:rsidR="00463F75" w:rsidRPr="005B64C9" w:rsidRDefault="00463F75" w:rsidP="00463F75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40FF2CFA" w14:textId="77777777" w:rsidR="00463F75" w:rsidRPr="00AD6106" w:rsidRDefault="00463F75" w:rsidP="00463F75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186D5428" w14:textId="77777777" w:rsidR="00463F75" w:rsidRPr="00AD6106" w:rsidRDefault="00463F75" w:rsidP="00463F7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35423422" w14:textId="77777777" w:rsidR="00463F75" w:rsidRPr="00F34E6C" w:rsidRDefault="00463F75" w:rsidP="00463F7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MSN-BL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47D6DFA2" w14:textId="77777777" w:rsidR="00463F75" w:rsidRPr="00F34E6C" w:rsidRDefault="00463F75" w:rsidP="00463F7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463F75" w:rsidRPr="00CD1916" w14:paraId="2581567F" w14:textId="77777777" w:rsidTr="004B6199">
        <w:tc>
          <w:tcPr>
            <w:tcW w:w="1701" w:type="dxa"/>
          </w:tcPr>
          <w:p w14:paraId="194E172E" w14:textId="77777777" w:rsidR="00463F75" w:rsidRPr="00F34E6C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63DC0491" w14:textId="77777777" w:rsidR="00463F75" w:rsidRPr="00CD1916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0AA82C1C" w14:textId="77777777" w:rsidR="00463F75" w:rsidRPr="00CD1916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0B0E431" w14:textId="77777777" w:rsidR="00463F75" w:rsidRPr="00CD1916" w:rsidRDefault="00463F75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D2F2A94" w14:textId="77777777" w:rsidR="00463F75" w:rsidRPr="00CD1916" w:rsidRDefault="00463F75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463F75" w:rsidRPr="00CD1916" w14:paraId="58059327" w14:textId="77777777" w:rsidTr="004B6199">
        <w:tc>
          <w:tcPr>
            <w:tcW w:w="1701" w:type="dxa"/>
          </w:tcPr>
          <w:p w14:paraId="6DDFFABC" w14:textId="77777777" w:rsidR="00463F75" w:rsidRPr="00CD1916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4A2EBC4" w14:textId="77777777" w:rsidR="00463F75" w:rsidRPr="00CD1916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393BA694" w14:textId="77777777" w:rsidR="00463F75" w:rsidRPr="00CD1916" w:rsidRDefault="00463F7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0725694" w14:textId="77777777" w:rsidR="00463F75" w:rsidRPr="00CD1916" w:rsidRDefault="00463F75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D704B4C" w14:textId="77777777" w:rsidR="00463F75" w:rsidRPr="00CD1916" w:rsidRDefault="00463F75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0C3FF6"/>
    <w:rsid w:val="00183267"/>
    <w:rsid w:val="002C6CEC"/>
    <w:rsid w:val="002F0B08"/>
    <w:rsid w:val="003D1349"/>
    <w:rsid w:val="00407CEE"/>
    <w:rsid w:val="00463F75"/>
    <w:rsid w:val="00544263"/>
    <w:rsid w:val="00577AC3"/>
    <w:rsid w:val="00604159"/>
    <w:rsid w:val="006C311E"/>
    <w:rsid w:val="009E296F"/>
    <w:rsid w:val="009E33BC"/>
    <w:rsid w:val="00B81D5B"/>
    <w:rsid w:val="00C82F6C"/>
    <w:rsid w:val="00CB2805"/>
    <w:rsid w:val="00D62868"/>
    <w:rsid w:val="00E40702"/>
    <w:rsid w:val="00E54362"/>
    <w:rsid w:val="00E761A3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817</Characters>
  <Application>Microsoft Office Word</Application>
  <DocSecurity>0</DocSecurity>
  <Lines>6</Lines>
  <Paragraphs>1</Paragraphs>
  <ScaleCrop>false</ScaleCrop>
  <Company>Getzner Werkstoffe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2025-07-24T06:54:00Z</dcterms:created>
  <dcterms:modified xsi:type="dcterms:W3CDTF">2025-07-24T06:54:00Z</dcterms:modified>
</cp:coreProperties>
</file>