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66BEA" w14:textId="77777777" w:rsidR="005960C5" w:rsidRPr="007A4CBD" w:rsidRDefault="008C5D63" w:rsidP="00671122">
      <w:pPr>
        <w:rPr>
          <w:rFonts w:ascii="Arial" w:hAnsi="Arial" w:cs="Arial"/>
          <w:b/>
          <w:sz w:val="20"/>
          <w:szCs w:val="22"/>
        </w:rPr>
      </w:pPr>
      <w:r>
        <w:rPr>
          <w:rFonts w:ascii="Arial" w:hAnsi="Arial"/>
          <w:b/>
          <w:sz w:val="20"/>
        </w:rPr>
        <w:t>COMMUNIQUÉ DE PRESSE</w:t>
      </w:r>
    </w:p>
    <w:p w14:paraId="3EC6D2C4" w14:textId="4BFFE886" w:rsidR="008C5D63" w:rsidRPr="007A4CBD" w:rsidRDefault="00924220">
      <w:pPr>
        <w:rPr>
          <w:rFonts w:ascii="Arial" w:hAnsi="Arial" w:cs="Arial"/>
          <w:color w:val="000000" w:themeColor="text1"/>
          <w:sz w:val="20"/>
        </w:rPr>
      </w:pPr>
      <w:r>
        <w:rPr>
          <w:rFonts w:ascii="Arial" w:hAnsi="Arial"/>
          <w:color w:val="000000" w:themeColor="text1"/>
          <w:sz w:val="20"/>
        </w:rPr>
        <w:t>13/10</w:t>
      </w:r>
      <w:r w:rsidR="00782C3A">
        <w:rPr>
          <w:rFonts w:ascii="Arial" w:hAnsi="Arial"/>
          <w:color w:val="000000" w:themeColor="text1"/>
          <w:sz w:val="20"/>
        </w:rPr>
        <w:t>/2017</w:t>
      </w:r>
    </w:p>
    <w:p w14:paraId="6C906C1D" w14:textId="77777777" w:rsidR="008C5D63" w:rsidRPr="007A4CBD" w:rsidRDefault="008C5D63">
      <w:pPr>
        <w:rPr>
          <w:rFonts w:ascii="Arial" w:hAnsi="Arial" w:cs="Arial"/>
          <w:color w:val="FF0000"/>
          <w:sz w:val="20"/>
          <w:szCs w:val="22"/>
        </w:rPr>
      </w:pPr>
    </w:p>
    <w:p w14:paraId="14ABB1D1" w14:textId="1761B064" w:rsidR="00CD1AB2" w:rsidRPr="009B7634" w:rsidRDefault="00CC2B86">
      <w:pPr>
        <w:rPr>
          <w:rFonts w:ascii="Arial" w:hAnsi="Arial" w:cs="Arial"/>
          <w:b/>
          <w:color w:val="000000" w:themeColor="text1"/>
          <w:szCs w:val="28"/>
        </w:rPr>
      </w:pPr>
      <w:r>
        <w:rPr>
          <w:rFonts w:ascii="Arial" w:hAnsi="Arial"/>
          <w:b/>
          <w:color w:val="000000" w:themeColor="text1"/>
        </w:rPr>
        <w:t>Nouvelle protection haute performance contre les vibrations pour les bâtiments</w:t>
      </w:r>
    </w:p>
    <w:p w14:paraId="297A8AFC" w14:textId="60D47184" w:rsidR="00CD1AB2" w:rsidRPr="00AA16D6" w:rsidRDefault="00CD1AB2">
      <w:pPr>
        <w:rPr>
          <w:rFonts w:ascii="Arial" w:hAnsi="Arial" w:cs="Arial"/>
          <w:b/>
          <w:color w:val="000000" w:themeColor="text1"/>
          <w:sz w:val="20"/>
          <w:szCs w:val="22"/>
        </w:rPr>
      </w:pPr>
      <w:r>
        <w:rPr>
          <w:rFonts w:ascii="Arial" w:hAnsi="Arial"/>
          <w:b/>
          <w:color w:val="000000" w:themeColor="text1"/>
          <w:sz w:val="20"/>
        </w:rPr>
        <w:t>Les suspensions HRB HS conçues par Getzner peuvent supporter jusqu’à 12 N/mm² dans des espaces restreints</w:t>
      </w:r>
    </w:p>
    <w:p w14:paraId="7B80F1B1" w14:textId="77777777" w:rsidR="00CD1AB2" w:rsidRPr="00AA16D6" w:rsidRDefault="00CD1AB2">
      <w:pPr>
        <w:rPr>
          <w:rFonts w:ascii="Arial" w:hAnsi="Arial" w:cs="Arial"/>
          <w:b/>
          <w:color w:val="000000" w:themeColor="text1"/>
          <w:sz w:val="20"/>
          <w:szCs w:val="22"/>
        </w:rPr>
      </w:pPr>
    </w:p>
    <w:p w14:paraId="4AC085F0" w14:textId="087270FE" w:rsidR="00F01AF8" w:rsidRPr="009B7634" w:rsidRDefault="00D4718A">
      <w:pPr>
        <w:rPr>
          <w:rFonts w:ascii="Arial" w:hAnsi="Arial" w:cs="Arial"/>
          <w:b/>
          <w:color w:val="000000" w:themeColor="text1"/>
          <w:sz w:val="20"/>
          <w:szCs w:val="22"/>
        </w:rPr>
      </w:pPr>
      <w:proofErr w:type="spellStart"/>
      <w:r>
        <w:rPr>
          <w:rFonts w:ascii="Arial" w:hAnsi="Arial"/>
          <w:b/>
          <w:color w:val="000000" w:themeColor="text1"/>
          <w:sz w:val="20"/>
        </w:rPr>
        <w:t>Buers</w:t>
      </w:r>
      <w:proofErr w:type="spellEnd"/>
      <w:r>
        <w:rPr>
          <w:rFonts w:ascii="Arial" w:hAnsi="Arial"/>
          <w:b/>
          <w:color w:val="000000" w:themeColor="text1"/>
          <w:sz w:val="20"/>
        </w:rPr>
        <w:t xml:space="preserve"> (AT). Getzner </w:t>
      </w:r>
      <w:proofErr w:type="spellStart"/>
      <w:r>
        <w:rPr>
          <w:rFonts w:ascii="Arial" w:hAnsi="Arial"/>
          <w:b/>
          <w:color w:val="000000" w:themeColor="text1"/>
          <w:sz w:val="20"/>
        </w:rPr>
        <w:t>Werkstoffe</w:t>
      </w:r>
      <w:proofErr w:type="spellEnd"/>
      <w:r>
        <w:rPr>
          <w:rFonts w:ascii="Arial" w:hAnsi="Arial"/>
          <w:b/>
          <w:color w:val="000000" w:themeColor="text1"/>
          <w:sz w:val="20"/>
        </w:rPr>
        <w:t xml:space="preserve"> élargit sa gamme de produits et établit de nouveaux critères dans le domaine de la suspension de bâtiments. Le nouveau type de matériau </w:t>
      </w:r>
      <w:hyperlink r:id="rId9" w:history="1">
        <w:r w:rsidRPr="0006222B">
          <w:rPr>
            <w:rStyle w:val="Link"/>
            <w:rFonts w:ascii="Arial" w:hAnsi="Arial"/>
            <w:b/>
            <w:sz w:val="20"/>
          </w:rPr>
          <w:t>Sylodyn®</w:t>
        </w:r>
      </w:hyperlink>
      <w:r>
        <w:rPr>
          <w:rFonts w:ascii="Arial" w:hAnsi="Arial"/>
          <w:b/>
          <w:color w:val="000000" w:themeColor="text1"/>
          <w:sz w:val="20"/>
        </w:rPr>
        <w:t xml:space="preserve"> HRB HS 12000 a été spécialement conçu pour la suspension de bâtiments dans des espaces restreints et pour des plages de charge extrêmes allant jusqu’à 12 N/mm². Getzner commercialise ainsi de nouveaux produits dans le cadre d’un élargissement considérable de sa gamme existante HRB HS pour suspension de bâtiments. </w:t>
      </w:r>
    </w:p>
    <w:p w14:paraId="72772808" w14:textId="2A517A03" w:rsidR="00AE2E4F" w:rsidRPr="003D017D" w:rsidRDefault="00AE2E4F">
      <w:pPr>
        <w:rPr>
          <w:rFonts w:ascii="Arial" w:hAnsi="Arial" w:cs="Arial"/>
          <w:b/>
          <w:color w:val="000000" w:themeColor="text1"/>
          <w:sz w:val="20"/>
          <w:szCs w:val="22"/>
        </w:rPr>
      </w:pPr>
    </w:p>
    <w:p w14:paraId="0E750EC0" w14:textId="48A6061B" w:rsidR="007F6297" w:rsidRPr="00A245F3" w:rsidRDefault="00F01AF8">
      <w:pPr>
        <w:rPr>
          <w:rFonts w:ascii="Arial" w:hAnsi="Arial" w:cs="Arial"/>
          <w:color w:val="000000" w:themeColor="text1"/>
          <w:sz w:val="20"/>
          <w:szCs w:val="22"/>
        </w:rPr>
      </w:pPr>
      <w:r>
        <w:rPr>
          <w:rFonts w:ascii="Arial" w:hAnsi="Arial"/>
          <w:color w:val="000000" w:themeColor="text1"/>
          <w:sz w:val="20"/>
        </w:rPr>
        <w:t xml:space="preserve">La série HRB HS de </w:t>
      </w:r>
      <w:hyperlink r:id="rId10" w:history="1">
        <w:r w:rsidRPr="0006222B">
          <w:rPr>
            <w:rStyle w:val="Link"/>
            <w:rFonts w:ascii="Arial" w:hAnsi="Arial"/>
            <w:sz w:val="20"/>
          </w:rPr>
          <w:t>plots haute résistance</w:t>
        </w:r>
      </w:hyperlink>
      <w:r>
        <w:rPr>
          <w:rFonts w:ascii="Arial" w:hAnsi="Arial"/>
          <w:color w:val="000000" w:themeColor="text1"/>
          <w:sz w:val="20"/>
        </w:rPr>
        <w:t xml:space="preserve"> pour suspension de bâtiments s’agrandit : dernier né de la gamme proposée par Getzner, le nouveau type HRB HS 12000 a été conçu pour supporter des charges statiques extrêmes et répondre à des exigences élevées en matière d’isolation des vibrations et secousses dans des espaces restreints. Celui-ci peut notamment être utilisé dans des immeubles d’habitation, des bâtiments commerciaux, des hôtels, des hôpitaux, des centres de recherche et de congrès ou encore des opéras. Même les immeubles élevés peuvent ainsi être protégés des vibrations indésirables. « Ce nouveau type de matériau a été développé pour des transmissions de charges dans des espaces restreints allant jusqu’à 12 N/mm², avec une efficacité dynamique optimale », souligne Martin </w:t>
      </w:r>
      <w:proofErr w:type="spellStart"/>
      <w:r>
        <w:rPr>
          <w:rFonts w:ascii="Arial" w:hAnsi="Arial"/>
          <w:color w:val="000000" w:themeColor="text1"/>
          <w:sz w:val="20"/>
        </w:rPr>
        <w:t>Domig</w:t>
      </w:r>
      <w:proofErr w:type="spellEnd"/>
      <w:r>
        <w:rPr>
          <w:rFonts w:ascii="Arial" w:hAnsi="Arial"/>
          <w:color w:val="000000" w:themeColor="text1"/>
          <w:sz w:val="20"/>
        </w:rPr>
        <w:t xml:space="preserve">, chef de produits chez Getzner. </w:t>
      </w:r>
    </w:p>
    <w:p w14:paraId="575D9820" w14:textId="77777777" w:rsidR="007F6297" w:rsidRPr="00A245F3" w:rsidRDefault="007F6297">
      <w:pPr>
        <w:rPr>
          <w:rFonts w:ascii="Arial" w:hAnsi="Arial" w:cs="Arial"/>
          <w:color w:val="000000" w:themeColor="text1"/>
          <w:sz w:val="20"/>
          <w:szCs w:val="22"/>
        </w:rPr>
      </w:pPr>
    </w:p>
    <w:p w14:paraId="3B16B8D4" w14:textId="506FA75C" w:rsidR="007F6297" w:rsidRPr="00A245F3" w:rsidRDefault="00D6557F">
      <w:pPr>
        <w:rPr>
          <w:rFonts w:ascii="Arial" w:hAnsi="Arial" w:cs="Arial"/>
          <w:b/>
          <w:color w:val="000000" w:themeColor="text1"/>
          <w:sz w:val="20"/>
          <w:szCs w:val="22"/>
        </w:rPr>
      </w:pPr>
      <w:r>
        <w:rPr>
          <w:rFonts w:ascii="Arial" w:hAnsi="Arial"/>
          <w:b/>
          <w:color w:val="000000" w:themeColor="text1"/>
          <w:sz w:val="20"/>
        </w:rPr>
        <w:t>Une vaste gamme de produits adaptée à diverses plages de charge</w:t>
      </w:r>
    </w:p>
    <w:p w14:paraId="3F3BC872" w14:textId="45C04624" w:rsidR="00D84A5B" w:rsidRPr="00F720C5" w:rsidRDefault="00C604C0">
      <w:pPr>
        <w:rPr>
          <w:rFonts w:ascii="Arial" w:hAnsi="Arial" w:cs="Arial"/>
          <w:color w:val="000000" w:themeColor="text1"/>
          <w:sz w:val="20"/>
          <w:szCs w:val="22"/>
        </w:rPr>
      </w:pPr>
      <w:r>
        <w:rPr>
          <w:rFonts w:ascii="Arial" w:hAnsi="Arial"/>
          <w:color w:val="000000" w:themeColor="text1"/>
          <w:sz w:val="20"/>
        </w:rPr>
        <w:t>Tous les produits de la série de types complète de plots haute résistance proposée par Getzner, à savoir HRB HS 3000, HRB HS 6000 et HRB HS 12000 peuvent être utilisés en tant qu’</w:t>
      </w:r>
      <w:hyperlink r:id="rId11" w:history="1">
        <w:r w:rsidRPr="0006222B">
          <w:rPr>
            <w:rStyle w:val="Link"/>
            <w:rFonts w:ascii="Arial" w:hAnsi="Arial"/>
            <w:sz w:val="20"/>
          </w:rPr>
          <w:t>appuis ponctuels</w:t>
        </w:r>
      </w:hyperlink>
      <w:r>
        <w:rPr>
          <w:rFonts w:ascii="Arial" w:hAnsi="Arial"/>
          <w:color w:val="000000" w:themeColor="text1"/>
          <w:sz w:val="20"/>
        </w:rPr>
        <w:t xml:space="preserve"> ou </w:t>
      </w:r>
      <w:hyperlink r:id="rId12" w:history="1">
        <w:r w:rsidRPr="0006222B">
          <w:rPr>
            <w:rStyle w:val="Link"/>
            <w:rFonts w:ascii="Arial" w:hAnsi="Arial"/>
            <w:sz w:val="20"/>
          </w:rPr>
          <w:t>linéaires</w:t>
        </w:r>
      </w:hyperlink>
      <w:r>
        <w:rPr>
          <w:rFonts w:ascii="Arial" w:hAnsi="Arial"/>
          <w:color w:val="000000" w:themeColor="text1"/>
          <w:sz w:val="20"/>
        </w:rPr>
        <w:t xml:space="preserve"> selon le projet. La gamme recouvre un large éventail de produits et offre le matériau optimal adapté à toute plage de charge. « Cette sélection réduit les coûteuses adaptations effectuées au niveau de la construction, ce qui permet de faciliter cette dernière et d’influer de manière positive sur l’ensemble des coûts engendrés par l’édifice », explique Bertram Grass, directeur de l’ingénierie d’application chez Getzner. « Les suspensions sont en outre facilement manipulables, très légères et peuvent être installées sans efforts à l’emplacement de votre choix ». Les suspensions peuvent être utilisées partout où des espaces restreints doivent supporter des charges importantes, comme sur des têtes de pieux et d’étais ou dans diverses constructions en acier de l’industrie du bâtiment. </w:t>
      </w:r>
    </w:p>
    <w:p w14:paraId="655C1D8D" w14:textId="77777777" w:rsidR="00D84A5B" w:rsidRPr="00F92D0C" w:rsidRDefault="00D84A5B">
      <w:pPr>
        <w:rPr>
          <w:rFonts w:ascii="Arial" w:hAnsi="Arial" w:cs="Arial"/>
          <w:color w:val="000000" w:themeColor="text1"/>
          <w:sz w:val="20"/>
          <w:szCs w:val="22"/>
        </w:rPr>
      </w:pPr>
    </w:p>
    <w:p w14:paraId="19E6AA47" w14:textId="6F728FB7" w:rsidR="00D84A5B" w:rsidRPr="00A245F3" w:rsidRDefault="001D2F8D">
      <w:pPr>
        <w:rPr>
          <w:rFonts w:ascii="Arial" w:hAnsi="Arial" w:cs="Arial"/>
          <w:b/>
          <w:color w:val="000000" w:themeColor="text1"/>
          <w:sz w:val="20"/>
          <w:szCs w:val="22"/>
        </w:rPr>
      </w:pPr>
      <w:r>
        <w:rPr>
          <w:rFonts w:ascii="Arial" w:hAnsi="Arial"/>
          <w:b/>
          <w:color w:val="000000" w:themeColor="text1"/>
          <w:sz w:val="20"/>
        </w:rPr>
        <w:t>Des prestations connexes pour un déroulement de projet sans encombre</w:t>
      </w:r>
    </w:p>
    <w:p w14:paraId="5D4AA3B4" w14:textId="44DA8644" w:rsidR="00E00577" w:rsidRPr="009B7634" w:rsidRDefault="00E00577">
      <w:pPr>
        <w:rPr>
          <w:rFonts w:ascii="Arial" w:hAnsi="Arial" w:cs="Arial"/>
          <w:color w:val="000000" w:themeColor="text1"/>
          <w:sz w:val="20"/>
          <w:szCs w:val="22"/>
        </w:rPr>
      </w:pPr>
      <w:r>
        <w:rPr>
          <w:rFonts w:ascii="Arial" w:hAnsi="Arial"/>
          <w:color w:val="000000" w:themeColor="text1"/>
          <w:sz w:val="20"/>
        </w:rPr>
        <w:t>Les solutions proposées par Getzner reposent sur des calculs complexes, de longues années d’expérience et un large réseau de concepteurs spécialisés. Ainsi, chaque construction bénéficie du matériau parfaitement adapté. Pour ce faire, divers aspects techniques et économiques sont pris en compte. « La préfabrication des éléments de suspension, la conception de plans de pose personnalisés ainsi que la supervision et la réception de l’installation sur place viennent compléter notre large offre de services et garantissent un déroulement de projet sans encombre », ajoute Martin </w:t>
      </w:r>
      <w:proofErr w:type="spellStart"/>
      <w:r>
        <w:rPr>
          <w:rFonts w:ascii="Arial" w:hAnsi="Arial"/>
          <w:color w:val="000000" w:themeColor="text1"/>
          <w:sz w:val="20"/>
        </w:rPr>
        <w:t>Domig</w:t>
      </w:r>
      <w:proofErr w:type="spellEnd"/>
      <w:r>
        <w:rPr>
          <w:rFonts w:ascii="Arial" w:hAnsi="Arial"/>
          <w:color w:val="000000" w:themeColor="text1"/>
          <w:sz w:val="20"/>
        </w:rPr>
        <w:t>.</w:t>
      </w:r>
    </w:p>
    <w:p w14:paraId="1A131F62" w14:textId="77777777" w:rsidR="00D84A5B" w:rsidRPr="00F720C5" w:rsidRDefault="00D84A5B">
      <w:pPr>
        <w:rPr>
          <w:rFonts w:ascii="Arial" w:hAnsi="Arial" w:cs="Arial"/>
          <w:color w:val="000000" w:themeColor="text1"/>
          <w:sz w:val="20"/>
          <w:szCs w:val="22"/>
        </w:rPr>
      </w:pPr>
    </w:p>
    <w:p w14:paraId="7C4A9C75" w14:textId="0FB5A66F" w:rsidR="005D4CB5" w:rsidRPr="00AA16D6" w:rsidRDefault="00DF3E6D">
      <w:pPr>
        <w:pStyle w:val="p1"/>
        <w:rPr>
          <w:rStyle w:val="s1"/>
          <w:rFonts w:ascii="Arial" w:hAnsi="Arial" w:cs="Arial"/>
          <w:b/>
          <w:sz w:val="20"/>
        </w:rPr>
      </w:pPr>
      <w:r>
        <w:rPr>
          <w:rStyle w:val="s1"/>
          <w:rFonts w:ascii="Arial" w:hAnsi="Arial"/>
          <w:b/>
          <w:sz w:val="20"/>
        </w:rPr>
        <w:t>Série Sylodyn® HRB HS de Getzner</w:t>
      </w:r>
    </w:p>
    <w:p w14:paraId="4DD447AE" w14:textId="77777777" w:rsidR="007A4CBD" w:rsidRPr="00AA16D6" w:rsidRDefault="007A4CBD">
      <w:pPr>
        <w:pStyle w:val="p1"/>
        <w:rPr>
          <w:rStyle w:val="s1"/>
          <w:rFonts w:ascii="Arial" w:hAnsi="Arial" w:cs="Arial"/>
          <w:b/>
          <w:szCs w:val="24"/>
        </w:rPr>
      </w:pPr>
    </w:p>
    <w:p w14:paraId="7C16636C" w14:textId="44CC9F6E" w:rsidR="006D2CE0" w:rsidRPr="00AA16D6" w:rsidRDefault="006D2CE0">
      <w:pPr>
        <w:pStyle w:val="p1"/>
        <w:numPr>
          <w:ilvl w:val="0"/>
          <w:numId w:val="3"/>
        </w:numPr>
        <w:rPr>
          <w:rFonts w:ascii="Arial" w:hAnsi="Arial" w:cs="Arial"/>
          <w:sz w:val="20"/>
        </w:rPr>
      </w:pPr>
      <w:r>
        <w:rPr>
          <w:rFonts w:ascii="Arial" w:hAnsi="Arial"/>
          <w:sz w:val="20"/>
        </w:rPr>
        <w:t>Protection haute performance contre les vibrations dans des espaces restreints : jusqu’à 12 N/mm²</w:t>
      </w:r>
    </w:p>
    <w:p w14:paraId="55611C34" w14:textId="3FB80551" w:rsidR="005D4CB5" w:rsidRPr="00AA16D6" w:rsidRDefault="00C21C5B">
      <w:pPr>
        <w:pStyle w:val="p1"/>
        <w:numPr>
          <w:ilvl w:val="0"/>
          <w:numId w:val="3"/>
        </w:numPr>
        <w:rPr>
          <w:rFonts w:ascii="Arial" w:hAnsi="Arial" w:cs="Arial"/>
          <w:sz w:val="20"/>
        </w:rPr>
      </w:pPr>
      <w:r>
        <w:rPr>
          <w:rFonts w:ascii="Arial" w:hAnsi="Arial"/>
          <w:sz w:val="20"/>
        </w:rPr>
        <w:t xml:space="preserve">Gamme de produits finement déclinée pour toutes les plages de charge </w:t>
      </w:r>
    </w:p>
    <w:p w14:paraId="232A4DBE" w14:textId="3FAA28A3" w:rsidR="005D4CB5" w:rsidRPr="00AA16D6" w:rsidRDefault="00C21C5B">
      <w:pPr>
        <w:pStyle w:val="p1"/>
        <w:numPr>
          <w:ilvl w:val="0"/>
          <w:numId w:val="3"/>
        </w:numPr>
        <w:rPr>
          <w:rFonts w:ascii="Arial" w:hAnsi="Arial" w:cs="Arial"/>
          <w:sz w:val="20"/>
        </w:rPr>
      </w:pPr>
      <w:r>
        <w:rPr>
          <w:rFonts w:ascii="Arial" w:hAnsi="Arial"/>
          <w:sz w:val="20"/>
        </w:rPr>
        <w:t>Économique : ne nécessite aucune modification de construction onéreuse</w:t>
      </w:r>
    </w:p>
    <w:p w14:paraId="28F538D5" w14:textId="3553A2C2" w:rsidR="005D4CB5" w:rsidRPr="00AA16D6" w:rsidRDefault="00C21C5B">
      <w:pPr>
        <w:pStyle w:val="p1"/>
        <w:numPr>
          <w:ilvl w:val="0"/>
          <w:numId w:val="3"/>
        </w:numPr>
        <w:rPr>
          <w:rFonts w:ascii="Arial" w:hAnsi="Arial" w:cs="Arial"/>
          <w:sz w:val="20"/>
        </w:rPr>
      </w:pPr>
      <w:r>
        <w:rPr>
          <w:rFonts w:ascii="Arial" w:hAnsi="Arial"/>
          <w:sz w:val="20"/>
        </w:rPr>
        <w:t xml:space="preserve">Faible hauteur d’installation et grande maniabilité sur le chantier </w:t>
      </w:r>
    </w:p>
    <w:p w14:paraId="1875362B" w14:textId="2C52721A" w:rsidR="005D4CB5" w:rsidRPr="00AA16D6" w:rsidRDefault="00C21C5B">
      <w:pPr>
        <w:pStyle w:val="p1"/>
        <w:numPr>
          <w:ilvl w:val="0"/>
          <w:numId w:val="3"/>
        </w:numPr>
        <w:rPr>
          <w:rFonts w:ascii="Arial" w:hAnsi="Arial" w:cs="Arial"/>
          <w:sz w:val="20"/>
        </w:rPr>
      </w:pPr>
      <w:r>
        <w:rPr>
          <w:rFonts w:ascii="Arial" w:hAnsi="Arial"/>
          <w:sz w:val="20"/>
        </w:rPr>
        <w:t>Difficilement inflammable</w:t>
      </w:r>
    </w:p>
    <w:p w14:paraId="63ABCB69" w14:textId="77E3C051" w:rsidR="005D4CB5" w:rsidRPr="00AA16D6" w:rsidRDefault="00C21C5B">
      <w:pPr>
        <w:pStyle w:val="p1"/>
        <w:numPr>
          <w:ilvl w:val="0"/>
          <w:numId w:val="3"/>
        </w:numPr>
        <w:rPr>
          <w:rFonts w:ascii="Arial" w:hAnsi="Arial" w:cs="Arial"/>
          <w:sz w:val="20"/>
        </w:rPr>
      </w:pPr>
      <w:r>
        <w:rPr>
          <w:rFonts w:ascii="Arial" w:hAnsi="Arial"/>
          <w:sz w:val="20"/>
        </w:rPr>
        <w:t xml:space="preserve">Longue durée de vie grâce à une solidité mécanique élevée </w:t>
      </w:r>
    </w:p>
    <w:p w14:paraId="50A77966" w14:textId="43B3B101" w:rsidR="005D4CB5" w:rsidRPr="00AA16D6" w:rsidRDefault="00C21C5B">
      <w:pPr>
        <w:pStyle w:val="p1"/>
        <w:numPr>
          <w:ilvl w:val="0"/>
          <w:numId w:val="3"/>
        </w:numPr>
        <w:rPr>
          <w:rFonts w:ascii="Arial" w:hAnsi="Arial" w:cs="Arial"/>
          <w:sz w:val="20"/>
        </w:rPr>
      </w:pPr>
      <w:r>
        <w:rPr>
          <w:rFonts w:ascii="Arial" w:hAnsi="Arial"/>
          <w:sz w:val="20"/>
        </w:rPr>
        <w:t>Vastes possibilités d’application</w:t>
      </w:r>
    </w:p>
    <w:p w14:paraId="2EBBFC35" w14:textId="5F9A4290" w:rsidR="007A4CBD" w:rsidRPr="007A4CBD" w:rsidRDefault="005D4CB5">
      <w:pPr>
        <w:pStyle w:val="p1"/>
        <w:numPr>
          <w:ilvl w:val="0"/>
          <w:numId w:val="3"/>
        </w:numPr>
        <w:rPr>
          <w:rFonts w:ascii="Arial" w:hAnsi="Arial" w:cs="Arial"/>
          <w:sz w:val="20"/>
        </w:rPr>
      </w:pPr>
      <w:r>
        <w:rPr>
          <w:rFonts w:ascii="Arial" w:hAnsi="Arial"/>
          <w:sz w:val="20"/>
        </w:rPr>
        <w:lastRenderedPageBreak/>
        <w:t>Résistance aux produits chimiques et huiles utilisés dans la construction</w:t>
      </w:r>
    </w:p>
    <w:p w14:paraId="1D37DF39" w14:textId="65975EEB" w:rsidR="00E73E76" w:rsidRPr="007E3A97" w:rsidRDefault="00725BA4" w:rsidP="00AE1A83">
      <w:pPr>
        <w:pStyle w:val="p1"/>
        <w:numPr>
          <w:ilvl w:val="0"/>
          <w:numId w:val="3"/>
        </w:numPr>
        <w:rPr>
          <w:rFonts w:ascii="Arial" w:hAnsi="Arial" w:cs="Arial"/>
          <w:b/>
          <w:sz w:val="20"/>
        </w:rPr>
      </w:pPr>
      <w:r w:rsidRPr="007E3A97">
        <w:rPr>
          <w:rFonts w:ascii="Arial" w:hAnsi="Arial"/>
          <w:sz w:val="20"/>
        </w:rPr>
        <w:t>Agrément technique général : Sylodyn Z-16.8-468</w:t>
      </w:r>
    </w:p>
    <w:p w14:paraId="7B2158B3" w14:textId="4954CA7B" w:rsidR="007E3A97" w:rsidRDefault="007E3A97" w:rsidP="007E3A97">
      <w:pPr>
        <w:pStyle w:val="p1"/>
        <w:ind w:left="720"/>
        <w:rPr>
          <w:rFonts w:ascii="Arial" w:hAnsi="Arial" w:cs="Arial"/>
          <w:b/>
          <w:sz w:val="20"/>
        </w:rPr>
      </w:pPr>
    </w:p>
    <w:p w14:paraId="54E8A979" w14:textId="77777777" w:rsidR="007E3A97" w:rsidRPr="007E3A97" w:rsidRDefault="007E3A97" w:rsidP="007E3A97">
      <w:pPr>
        <w:pStyle w:val="p1"/>
        <w:ind w:left="720"/>
        <w:rPr>
          <w:rFonts w:ascii="Arial" w:hAnsi="Arial" w:cs="Arial"/>
          <w:b/>
          <w:sz w:val="20"/>
        </w:rPr>
      </w:pPr>
    </w:p>
    <w:p w14:paraId="6289021F" w14:textId="33CB66EA" w:rsidR="005D4CB5" w:rsidRPr="00A245F3" w:rsidRDefault="005D4CB5">
      <w:pPr>
        <w:pStyle w:val="p1"/>
        <w:rPr>
          <w:rFonts w:ascii="Arial" w:hAnsi="Arial" w:cs="Arial"/>
          <w:b/>
          <w:sz w:val="20"/>
        </w:rPr>
      </w:pPr>
      <w:r>
        <w:rPr>
          <w:rFonts w:ascii="Arial" w:hAnsi="Arial"/>
          <w:b/>
          <w:sz w:val="20"/>
        </w:rPr>
        <w:t>Références</w:t>
      </w:r>
    </w:p>
    <w:p w14:paraId="055B0F84" w14:textId="77777777" w:rsidR="001F6866" w:rsidRPr="00A245F3" w:rsidRDefault="001F6866">
      <w:pPr>
        <w:rPr>
          <w:rFonts w:ascii="Arial" w:hAnsi="Arial" w:cs="Arial"/>
          <w:sz w:val="20"/>
          <w:szCs w:val="22"/>
        </w:rPr>
      </w:pPr>
    </w:p>
    <w:p w14:paraId="6A97E2C8" w14:textId="6628E83A" w:rsidR="001F6866" w:rsidRPr="00A245F3" w:rsidRDefault="001F6866" w:rsidP="00A245F3">
      <w:pPr>
        <w:pStyle w:val="Listenabsatz"/>
        <w:numPr>
          <w:ilvl w:val="0"/>
          <w:numId w:val="8"/>
        </w:numPr>
        <w:rPr>
          <w:rFonts w:ascii="Arial" w:hAnsi="Arial" w:cs="Arial"/>
          <w:sz w:val="20"/>
          <w:szCs w:val="22"/>
        </w:rPr>
      </w:pPr>
      <w:proofErr w:type="spellStart"/>
      <w:r>
        <w:rPr>
          <w:rFonts w:ascii="Arial" w:hAnsi="Arial"/>
          <w:sz w:val="20"/>
        </w:rPr>
        <w:t>Southbank</w:t>
      </w:r>
      <w:proofErr w:type="spellEnd"/>
      <w:r>
        <w:rPr>
          <w:rFonts w:ascii="Arial" w:hAnsi="Arial"/>
          <w:sz w:val="20"/>
        </w:rPr>
        <w:t xml:space="preserve"> Place, immeuble de bureaux, Londres (UK)</w:t>
      </w:r>
    </w:p>
    <w:p w14:paraId="271E5839" w14:textId="77777777" w:rsidR="001F6866" w:rsidRPr="00A245F3" w:rsidRDefault="001F6866" w:rsidP="00A245F3">
      <w:pPr>
        <w:pStyle w:val="Listenabsatz"/>
        <w:numPr>
          <w:ilvl w:val="0"/>
          <w:numId w:val="8"/>
        </w:numPr>
        <w:rPr>
          <w:rFonts w:ascii="Arial" w:hAnsi="Arial" w:cs="Arial"/>
          <w:sz w:val="20"/>
          <w:szCs w:val="22"/>
        </w:rPr>
      </w:pPr>
      <w:proofErr w:type="spellStart"/>
      <w:r>
        <w:rPr>
          <w:rFonts w:ascii="Arial" w:hAnsi="Arial"/>
          <w:sz w:val="20"/>
        </w:rPr>
        <w:t>Unicity</w:t>
      </w:r>
      <w:proofErr w:type="spellEnd"/>
      <w:r>
        <w:rPr>
          <w:rFonts w:ascii="Arial" w:hAnsi="Arial"/>
          <w:sz w:val="20"/>
        </w:rPr>
        <w:t>, immeuble de bureaux, Levallois Perret (FR)</w:t>
      </w:r>
    </w:p>
    <w:p w14:paraId="67B7CF83" w14:textId="77777777" w:rsidR="001F6866" w:rsidRPr="00A245F3" w:rsidRDefault="001F6866" w:rsidP="00A245F3">
      <w:pPr>
        <w:pStyle w:val="Listenabsatz"/>
        <w:numPr>
          <w:ilvl w:val="0"/>
          <w:numId w:val="8"/>
        </w:numPr>
        <w:rPr>
          <w:rFonts w:ascii="Arial" w:hAnsi="Arial" w:cs="Arial"/>
          <w:sz w:val="20"/>
          <w:szCs w:val="22"/>
        </w:rPr>
      </w:pPr>
      <w:proofErr w:type="spellStart"/>
      <w:r>
        <w:rPr>
          <w:rFonts w:ascii="Arial" w:hAnsi="Arial"/>
          <w:sz w:val="20"/>
        </w:rPr>
        <w:t>Huttengasse</w:t>
      </w:r>
      <w:proofErr w:type="spellEnd"/>
      <w:r>
        <w:rPr>
          <w:rFonts w:ascii="Arial" w:hAnsi="Arial"/>
          <w:sz w:val="20"/>
        </w:rPr>
        <w:t>, immeuble d’habitation, Vienne (AT)</w:t>
      </w:r>
    </w:p>
    <w:p w14:paraId="420C2147" w14:textId="77777777" w:rsidR="001F6866" w:rsidRPr="00A245F3" w:rsidRDefault="001F6866" w:rsidP="00A245F3">
      <w:pPr>
        <w:pStyle w:val="Listenabsatz"/>
        <w:numPr>
          <w:ilvl w:val="0"/>
          <w:numId w:val="8"/>
        </w:numPr>
        <w:rPr>
          <w:rFonts w:ascii="Arial" w:hAnsi="Arial" w:cs="Arial"/>
          <w:sz w:val="20"/>
          <w:szCs w:val="22"/>
        </w:rPr>
      </w:pPr>
      <w:r>
        <w:rPr>
          <w:rFonts w:ascii="Arial" w:hAnsi="Arial"/>
          <w:sz w:val="20"/>
        </w:rPr>
        <w:t>Music Centre, Helsinki (FI)</w:t>
      </w:r>
    </w:p>
    <w:p w14:paraId="0263871C" w14:textId="2560E6DA" w:rsidR="005D4CB5" w:rsidRPr="00A245F3" w:rsidRDefault="001F6866" w:rsidP="00A245F3">
      <w:pPr>
        <w:pStyle w:val="Listenabsatz"/>
        <w:numPr>
          <w:ilvl w:val="0"/>
          <w:numId w:val="8"/>
        </w:numPr>
        <w:rPr>
          <w:rFonts w:ascii="Arial" w:hAnsi="Arial" w:cs="Arial"/>
          <w:sz w:val="20"/>
          <w:szCs w:val="22"/>
        </w:rPr>
      </w:pPr>
      <w:proofErr w:type="spellStart"/>
      <w:r>
        <w:rPr>
          <w:rFonts w:ascii="Arial" w:hAnsi="Arial"/>
          <w:sz w:val="20"/>
        </w:rPr>
        <w:t>Drachen</w:t>
      </w:r>
      <w:proofErr w:type="spellEnd"/>
      <w:r>
        <w:rPr>
          <w:rFonts w:ascii="Arial" w:hAnsi="Arial"/>
          <w:sz w:val="20"/>
        </w:rPr>
        <w:t>-Center, bâtiment commercial et d’habitation, Bâle (CH)</w:t>
      </w:r>
    </w:p>
    <w:p w14:paraId="16D29D4D" w14:textId="378E79E4" w:rsidR="00E73E76" w:rsidRPr="00A245F3" w:rsidRDefault="00E73E76" w:rsidP="00A245F3">
      <w:pPr>
        <w:keepNext/>
        <w:rPr>
          <w:rFonts w:ascii="Arial" w:hAnsi="Arial" w:cs="Arial"/>
          <w:sz w:val="22"/>
        </w:rPr>
      </w:pPr>
    </w:p>
    <w:p w14:paraId="74E2C91E" w14:textId="562BDB92" w:rsidR="00713AA5" w:rsidRDefault="00713AA5">
      <w:pPr>
        <w:rPr>
          <w:rFonts w:ascii="Arial" w:hAnsi="Arial" w:cs="Arial"/>
          <w:color w:val="000000" w:themeColor="text1"/>
          <w:sz w:val="20"/>
          <w:szCs w:val="22"/>
        </w:rPr>
      </w:pPr>
    </w:p>
    <w:p w14:paraId="71CC6574" w14:textId="42F6F9FA" w:rsidR="00D83E16" w:rsidRDefault="008F3F0F" w:rsidP="00D83E16">
      <w:pPr>
        <w:rPr>
          <w:rFonts w:ascii="Arial" w:hAnsi="Arial" w:cs="Arial"/>
          <w:color w:val="000000" w:themeColor="text1"/>
          <w:sz w:val="20"/>
          <w:szCs w:val="22"/>
          <w:lang w:val="en-US"/>
        </w:rPr>
      </w:pPr>
      <w:r w:rsidRPr="008F3F0F">
        <w:rPr>
          <w:rFonts w:ascii="Arial" w:hAnsi="Arial" w:cs="Arial"/>
          <w:b/>
          <w:color w:val="000000" w:themeColor="text1"/>
          <w:sz w:val="20"/>
          <w:szCs w:val="22"/>
        </w:rPr>
        <w:t>Photo:</w:t>
      </w:r>
      <w:r>
        <w:rPr>
          <w:rFonts w:ascii="Arial" w:hAnsi="Arial" w:cs="Arial"/>
          <w:b/>
          <w:color w:val="000000" w:themeColor="text1"/>
          <w:sz w:val="20"/>
          <w:szCs w:val="22"/>
        </w:rPr>
        <w:t xml:space="preserve"> </w:t>
      </w:r>
      <w:r w:rsidR="00D83E16">
        <w:rPr>
          <w:rFonts w:ascii="Arial" w:hAnsi="Arial" w:cs="Arial"/>
          <w:color w:val="000000" w:themeColor="text1"/>
          <w:sz w:val="20"/>
          <w:szCs w:val="22"/>
          <w:lang w:val="en-US"/>
        </w:rPr>
        <w:t xml:space="preserve">Sylodyn-HRB-Series.jpg </w:t>
      </w:r>
    </w:p>
    <w:p w14:paraId="27D594A0" w14:textId="5354A861" w:rsidR="007A4CBD" w:rsidRPr="00A245F3" w:rsidRDefault="007A4CBD">
      <w:pPr>
        <w:rPr>
          <w:rFonts w:ascii="Arial" w:hAnsi="Arial" w:cs="Arial"/>
          <w:color w:val="000000" w:themeColor="text1"/>
          <w:sz w:val="20"/>
          <w:szCs w:val="22"/>
        </w:rPr>
      </w:pPr>
      <w:r>
        <w:rPr>
          <w:rFonts w:ascii="Arial" w:hAnsi="Arial"/>
          <w:b/>
          <w:color w:val="000000" w:themeColor="text1"/>
          <w:sz w:val="20"/>
        </w:rPr>
        <w:t>Légende :</w:t>
      </w:r>
      <w:r>
        <w:rPr>
          <w:rFonts w:ascii="Arial" w:hAnsi="Arial"/>
          <w:color w:val="000000" w:themeColor="text1"/>
          <w:sz w:val="20"/>
        </w:rPr>
        <w:t xml:space="preserve"> </w:t>
      </w:r>
      <w:r w:rsidR="00BF536C">
        <w:rPr>
          <w:rFonts w:ascii="Arial" w:hAnsi="Arial"/>
          <w:color w:val="000000" w:themeColor="text1"/>
          <w:sz w:val="20"/>
        </w:rPr>
        <w:t xml:space="preserve">Getzner </w:t>
      </w:r>
      <w:r w:rsidR="0051146B">
        <w:rPr>
          <w:rFonts w:ascii="Arial" w:hAnsi="Arial"/>
          <w:color w:val="000000" w:themeColor="text1"/>
          <w:sz w:val="20"/>
        </w:rPr>
        <w:t>élargit sa gamme de Sylodyn® HRB HS</w:t>
      </w:r>
      <w:r w:rsidR="0051146B" w:rsidRPr="0051146B">
        <w:rPr>
          <w:rFonts w:ascii="Arial" w:hAnsi="Arial"/>
          <w:color w:val="000000" w:themeColor="text1"/>
          <w:sz w:val="20"/>
        </w:rPr>
        <w:t xml:space="preserve"> </w:t>
      </w:r>
      <w:r w:rsidR="00BF536C">
        <w:rPr>
          <w:rFonts w:ascii="Arial" w:hAnsi="Arial"/>
          <w:color w:val="000000" w:themeColor="text1"/>
          <w:sz w:val="20"/>
        </w:rPr>
        <w:t>par le nouveau type HRB HS 12000</w:t>
      </w:r>
    </w:p>
    <w:p w14:paraId="44A9A3A0" w14:textId="4C358B03" w:rsidR="007A4CBD" w:rsidRDefault="007A4CBD">
      <w:pPr>
        <w:rPr>
          <w:rFonts w:ascii="Arial" w:hAnsi="Arial"/>
          <w:color w:val="000000" w:themeColor="text1"/>
          <w:sz w:val="20"/>
        </w:rPr>
      </w:pPr>
      <w:r>
        <w:rPr>
          <w:rFonts w:ascii="Arial" w:hAnsi="Arial"/>
          <w:b/>
          <w:color w:val="000000" w:themeColor="text1"/>
          <w:sz w:val="20"/>
        </w:rPr>
        <w:t>Crédit photographique :</w:t>
      </w:r>
      <w:r>
        <w:rPr>
          <w:rFonts w:ascii="Arial" w:hAnsi="Arial"/>
          <w:color w:val="000000" w:themeColor="text1"/>
          <w:sz w:val="20"/>
        </w:rPr>
        <w:t xml:space="preserve"> Getzner </w:t>
      </w:r>
      <w:proofErr w:type="spellStart"/>
      <w:r>
        <w:rPr>
          <w:rFonts w:ascii="Arial" w:hAnsi="Arial"/>
          <w:color w:val="000000" w:themeColor="text1"/>
          <w:sz w:val="20"/>
        </w:rPr>
        <w:t>Werkstoffe</w:t>
      </w:r>
      <w:proofErr w:type="spellEnd"/>
      <w:r>
        <w:rPr>
          <w:rFonts w:ascii="Arial" w:hAnsi="Arial"/>
          <w:color w:val="000000" w:themeColor="text1"/>
          <w:sz w:val="20"/>
        </w:rPr>
        <w:t>, publication libre de droits.</w:t>
      </w:r>
    </w:p>
    <w:p w14:paraId="3BD5259D" w14:textId="77777777" w:rsidR="00D83E16" w:rsidRDefault="00D83E16" w:rsidP="00D83E16">
      <w:pPr>
        <w:rPr>
          <w:rFonts w:ascii="Arial" w:hAnsi="Arial" w:cs="Arial"/>
          <w:color w:val="000000" w:themeColor="text1"/>
          <w:sz w:val="20"/>
          <w:szCs w:val="22"/>
        </w:rPr>
      </w:pPr>
    </w:p>
    <w:p w14:paraId="7B10B985" w14:textId="55F782FB" w:rsidR="00D83E16" w:rsidRPr="00F22735" w:rsidRDefault="00D83E16" w:rsidP="00D83E16">
      <w:pPr>
        <w:rPr>
          <w:rFonts w:ascii="Arial" w:hAnsi="Arial" w:cs="Arial"/>
          <w:color w:val="000000" w:themeColor="text1"/>
          <w:sz w:val="20"/>
          <w:szCs w:val="22"/>
        </w:rPr>
      </w:pPr>
      <w:proofErr w:type="gramStart"/>
      <w:r w:rsidRPr="008F3F0F">
        <w:rPr>
          <w:rFonts w:ascii="Arial" w:hAnsi="Arial" w:cs="Arial"/>
          <w:b/>
          <w:color w:val="000000" w:themeColor="text1"/>
          <w:sz w:val="20"/>
          <w:szCs w:val="22"/>
        </w:rPr>
        <w:t>Photo:</w:t>
      </w:r>
      <w:proofErr w:type="gramEnd"/>
      <w:r>
        <w:rPr>
          <w:rFonts w:ascii="Arial" w:hAnsi="Arial" w:cs="Arial"/>
          <w:b/>
          <w:color w:val="000000" w:themeColor="text1"/>
          <w:sz w:val="20"/>
          <w:szCs w:val="22"/>
        </w:rPr>
        <w:t xml:space="preserve"> </w:t>
      </w:r>
      <w:r w:rsidRPr="00F22735">
        <w:rPr>
          <w:rFonts w:ascii="Arial" w:hAnsi="Arial" w:cs="Arial"/>
          <w:color w:val="000000" w:themeColor="text1"/>
          <w:sz w:val="20"/>
          <w:szCs w:val="22"/>
        </w:rPr>
        <w:t>High-resilient-bearing.jpg</w:t>
      </w:r>
    </w:p>
    <w:p w14:paraId="4BAA1A14" w14:textId="78DF0189" w:rsidR="00D83E16" w:rsidRPr="00A245F3" w:rsidRDefault="00D83E16" w:rsidP="00D83E16">
      <w:pPr>
        <w:rPr>
          <w:rFonts w:ascii="Arial" w:hAnsi="Arial" w:cs="Arial"/>
          <w:color w:val="000000" w:themeColor="text1"/>
          <w:sz w:val="20"/>
          <w:szCs w:val="22"/>
        </w:rPr>
      </w:pPr>
      <w:r>
        <w:rPr>
          <w:rFonts w:ascii="Arial" w:hAnsi="Arial"/>
          <w:b/>
          <w:color w:val="000000" w:themeColor="text1"/>
          <w:sz w:val="20"/>
        </w:rPr>
        <w:t>Légende :</w:t>
      </w:r>
      <w:r>
        <w:rPr>
          <w:rFonts w:ascii="Arial" w:hAnsi="Arial"/>
          <w:color w:val="000000" w:themeColor="text1"/>
          <w:sz w:val="20"/>
        </w:rPr>
        <w:t xml:space="preserve"> </w:t>
      </w:r>
      <w:r w:rsidR="00F22735">
        <w:rPr>
          <w:rFonts w:ascii="Arial" w:hAnsi="Arial"/>
          <w:color w:val="000000" w:themeColor="text1"/>
          <w:sz w:val="20"/>
        </w:rPr>
        <w:t>Sylodyn® HRB HS</w:t>
      </w:r>
      <w:r w:rsidR="00F22735" w:rsidRPr="00F22735">
        <w:rPr>
          <w:rFonts w:ascii="Arial" w:hAnsi="Arial"/>
          <w:color w:val="000000" w:themeColor="text1"/>
          <w:sz w:val="20"/>
        </w:rPr>
        <w:t xml:space="preserve"> pe</w:t>
      </w:r>
      <w:r w:rsidR="00F22735">
        <w:rPr>
          <w:rFonts w:ascii="Arial" w:hAnsi="Arial"/>
          <w:color w:val="000000" w:themeColor="text1"/>
          <w:sz w:val="20"/>
        </w:rPr>
        <w:t>rmet</w:t>
      </w:r>
      <w:r w:rsidR="00F22735" w:rsidRPr="00F22735">
        <w:rPr>
          <w:rFonts w:ascii="Arial" w:hAnsi="Arial"/>
          <w:color w:val="000000" w:themeColor="text1"/>
          <w:sz w:val="20"/>
        </w:rPr>
        <w:t xml:space="preserve"> une isolation efficace contre les vibrations </w:t>
      </w:r>
      <w:r w:rsidR="00F22735">
        <w:rPr>
          <w:rFonts w:ascii="Arial" w:hAnsi="Arial"/>
          <w:color w:val="000000" w:themeColor="text1"/>
          <w:sz w:val="20"/>
        </w:rPr>
        <w:t>d</w:t>
      </w:r>
      <w:r w:rsidR="00F22735" w:rsidRPr="00F22735">
        <w:rPr>
          <w:rFonts w:ascii="Arial" w:hAnsi="Arial"/>
          <w:color w:val="000000" w:themeColor="text1"/>
          <w:sz w:val="20"/>
        </w:rPr>
        <w:t>ans des espaces restreints.</w:t>
      </w:r>
    </w:p>
    <w:p w14:paraId="68BD28DA" w14:textId="2D3962F3" w:rsidR="00D83E16" w:rsidRDefault="00D83E16">
      <w:pPr>
        <w:rPr>
          <w:rFonts w:ascii="Arial" w:hAnsi="Arial" w:cs="Arial"/>
          <w:color w:val="000000" w:themeColor="text1"/>
          <w:sz w:val="20"/>
          <w:szCs w:val="22"/>
        </w:rPr>
      </w:pPr>
      <w:r>
        <w:rPr>
          <w:rFonts w:ascii="Arial" w:hAnsi="Arial"/>
          <w:b/>
          <w:color w:val="000000" w:themeColor="text1"/>
          <w:sz w:val="20"/>
        </w:rPr>
        <w:t>Crédit photographique :</w:t>
      </w:r>
      <w:r>
        <w:rPr>
          <w:rFonts w:ascii="Arial" w:hAnsi="Arial"/>
          <w:color w:val="000000" w:themeColor="text1"/>
          <w:sz w:val="20"/>
        </w:rPr>
        <w:t xml:space="preserve"> Getzner </w:t>
      </w:r>
      <w:proofErr w:type="spellStart"/>
      <w:r>
        <w:rPr>
          <w:rFonts w:ascii="Arial" w:hAnsi="Arial"/>
          <w:color w:val="000000" w:themeColor="text1"/>
          <w:sz w:val="20"/>
        </w:rPr>
        <w:t>Werkstoffe</w:t>
      </w:r>
      <w:proofErr w:type="spellEnd"/>
      <w:r>
        <w:rPr>
          <w:rFonts w:ascii="Arial" w:hAnsi="Arial"/>
          <w:color w:val="000000" w:themeColor="text1"/>
          <w:sz w:val="20"/>
        </w:rPr>
        <w:t>, publication libre de droits.</w:t>
      </w:r>
    </w:p>
    <w:p w14:paraId="5045233F" w14:textId="77777777" w:rsidR="00F22735" w:rsidRDefault="00F22735">
      <w:pPr>
        <w:rPr>
          <w:rFonts w:ascii="Arial" w:hAnsi="Arial" w:cs="Arial"/>
          <w:color w:val="000000" w:themeColor="text1"/>
          <w:sz w:val="20"/>
          <w:szCs w:val="22"/>
        </w:rPr>
      </w:pPr>
    </w:p>
    <w:p w14:paraId="6F9816AB" w14:textId="77777777" w:rsidR="002D16D8" w:rsidRPr="008F2F0B" w:rsidRDefault="002D16D8">
      <w:pPr>
        <w:rPr>
          <w:rFonts w:ascii="Arial" w:hAnsi="Arial" w:cs="Arial"/>
          <w:color w:val="000000" w:themeColor="text1"/>
          <w:sz w:val="20"/>
          <w:szCs w:val="22"/>
        </w:rPr>
      </w:pPr>
      <w:bookmarkStart w:id="0" w:name="_GoBack"/>
      <w:bookmarkEnd w:id="0"/>
    </w:p>
    <w:p w14:paraId="132EB79A" w14:textId="77777777" w:rsidR="000A795B" w:rsidRPr="00A245F3" w:rsidRDefault="000A795B">
      <w:pPr>
        <w:rPr>
          <w:rFonts w:ascii="Arial" w:hAnsi="Arial" w:cs="Arial"/>
          <w:b/>
          <w:sz w:val="16"/>
          <w:szCs w:val="18"/>
        </w:rPr>
      </w:pPr>
      <w:r>
        <w:rPr>
          <w:rFonts w:ascii="Arial" w:hAnsi="Arial"/>
          <w:b/>
          <w:sz w:val="16"/>
        </w:rPr>
        <w:t xml:space="preserve">Getzner </w:t>
      </w:r>
      <w:proofErr w:type="spellStart"/>
      <w:r>
        <w:rPr>
          <w:rFonts w:ascii="Arial" w:hAnsi="Arial"/>
          <w:b/>
          <w:sz w:val="16"/>
        </w:rPr>
        <w:t>Werkstoffe</w:t>
      </w:r>
      <w:proofErr w:type="spellEnd"/>
      <w:r>
        <w:rPr>
          <w:rFonts w:ascii="Arial" w:hAnsi="Arial"/>
          <w:b/>
          <w:sz w:val="16"/>
        </w:rPr>
        <w:t xml:space="preserve"> </w:t>
      </w:r>
      <w:proofErr w:type="spellStart"/>
      <w:r>
        <w:rPr>
          <w:rFonts w:ascii="Arial" w:hAnsi="Arial"/>
          <w:b/>
          <w:sz w:val="16"/>
        </w:rPr>
        <w:t>GmbH</w:t>
      </w:r>
      <w:proofErr w:type="spellEnd"/>
    </w:p>
    <w:p w14:paraId="02463BAE" w14:textId="4F87ED48" w:rsidR="000A795B" w:rsidRPr="00A245F3" w:rsidRDefault="000A795B">
      <w:pPr>
        <w:rPr>
          <w:rFonts w:ascii="Arial" w:hAnsi="Arial" w:cs="Arial"/>
          <w:sz w:val="16"/>
          <w:szCs w:val="18"/>
        </w:rPr>
      </w:pPr>
      <w:r>
        <w:rPr>
          <w:rFonts w:ascii="Arial" w:hAnsi="Arial"/>
          <w:sz w:val="16"/>
        </w:rPr>
        <w:t xml:space="preserve">Getzner </w:t>
      </w:r>
      <w:proofErr w:type="spellStart"/>
      <w:r>
        <w:rPr>
          <w:rFonts w:ascii="Arial" w:hAnsi="Arial"/>
          <w:sz w:val="16"/>
        </w:rPr>
        <w:t>Werkstoffe</w:t>
      </w:r>
      <w:proofErr w:type="spellEnd"/>
      <w:r>
        <w:rPr>
          <w:rFonts w:ascii="Arial" w:hAnsi="Arial"/>
          <w:sz w:val="16"/>
        </w:rPr>
        <w:t xml:space="preserve"> est le spécialiste leader en matière d’isolation des vibrations et des secousses. L’entreprise a été fondée en 1969 en tant que filiale de Getzner </w:t>
      </w:r>
      <w:proofErr w:type="spellStart"/>
      <w:r>
        <w:rPr>
          <w:rFonts w:ascii="Arial" w:hAnsi="Arial"/>
          <w:sz w:val="16"/>
        </w:rPr>
        <w:t>Mutter</w:t>
      </w:r>
      <w:proofErr w:type="spellEnd"/>
      <w:r>
        <w:rPr>
          <w:rFonts w:ascii="Arial" w:hAnsi="Arial"/>
          <w:sz w:val="16"/>
        </w:rPr>
        <w:t xml:space="preserve"> &amp; Cie. Nos solutions reposent sur l’utilisation des produits Sylomer®, Sylodyn®, </w:t>
      </w:r>
      <w:proofErr w:type="spellStart"/>
      <w:r>
        <w:rPr>
          <w:rFonts w:ascii="Arial" w:hAnsi="Arial"/>
          <w:sz w:val="16"/>
        </w:rPr>
        <w:t>Sylodamp</w:t>
      </w:r>
      <w:proofErr w:type="spellEnd"/>
      <w:r>
        <w:rPr>
          <w:rFonts w:ascii="Arial" w:hAnsi="Arial"/>
          <w:sz w:val="16"/>
        </w:rPr>
        <w:t xml:space="preserve">® et </w:t>
      </w:r>
      <w:proofErr w:type="spellStart"/>
      <w:r>
        <w:rPr>
          <w:rFonts w:ascii="Arial" w:hAnsi="Arial"/>
          <w:sz w:val="16"/>
        </w:rPr>
        <w:t>Isotop</w:t>
      </w:r>
      <w:proofErr w:type="spellEnd"/>
      <w:r>
        <w:rPr>
          <w:rFonts w:ascii="Arial" w:hAnsi="Arial"/>
          <w:sz w:val="16"/>
        </w:rPr>
        <w:t xml:space="preserve">® que nous développons et fabriquons nous-mêmes pour </w:t>
      </w:r>
      <w:proofErr w:type="gramStart"/>
      <w:r>
        <w:rPr>
          <w:rFonts w:ascii="Arial" w:hAnsi="Arial"/>
          <w:sz w:val="16"/>
        </w:rPr>
        <w:t>les secteurs ferroviaire</w:t>
      </w:r>
      <w:proofErr w:type="gramEnd"/>
      <w:r>
        <w:rPr>
          <w:rFonts w:ascii="Arial" w:hAnsi="Arial"/>
          <w:sz w:val="16"/>
        </w:rPr>
        <w:t>,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p>
    <w:p w14:paraId="5B6C468B" w14:textId="77777777" w:rsidR="000A795B" w:rsidRPr="00A245F3" w:rsidRDefault="000A795B">
      <w:pPr>
        <w:rPr>
          <w:rFonts w:ascii="Arial" w:hAnsi="Arial" w:cs="Arial"/>
          <w:sz w:val="16"/>
          <w:szCs w:val="18"/>
        </w:rPr>
      </w:pPr>
    </w:p>
    <w:p w14:paraId="63DB3583" w14:textId="171FCC9C" w:rsidR="000A795B" w:rsidRPr="00A245F3" w:rsidRDefault="00147F6F">
      <w:pPr>
        <w:rPr>
          <w:rFonts w:ascii="Arial" w:hAnsi="Arial" w:cs="Arial"/>
          <w:sz w:val="16"/>
        </w:rPr>
      </w:pPr>
      <w:r>
        <w:rPr>
          <w:rFonts w:ascii="Arial" w:hAnsi="Arial"/>
          <w:sz w:val="16"/>
        </w:rPr>
        <w:t xml:space="preserve">Getzner commercialise ses solutions antivibratoires dans le monde entier. Outre ses sites à </w:t>
      </w:r>
      <w:proofErr w:type="spellStart"/>
      <w:r>
        <w:rPr>
          <w:rFonts w:ascii="Arial" w:hAnsi="Arial"/>
          <w:sz w:val="16"/>
        </w:rPr>
        <w:t>Buers</w:t>
      </w:r>
      <w:proofErr w:type="spellEnd"/>
      <w:r>
        <w:rPr>
          <w:rFonts w:ascii="Arial" w:hAnsi="Arial"/>
          <w:sz w:val="16"/>
        </w:rPr>
        <w:t xml:space="preserve">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6BA0CC76" w14:textId="77777777" w:rsidR="00147F6F" w:rsidRPr="00A245F3" w:rsidRDefault="00147F6F">
      <w:pPr>
        <w:rPr>
          <w:rFonts w:ascii="Arial" w:hAnsi="Arial" w:cs="Arial"/>
          <w:sz w:val="16"/>
          <w:szCs w:val="18"/>
        </w:rPr>
      </w:pPr>
    </w:p>
    <w:p w14:paraId="12D0BDF6" w14:textId="77777777" w:rsidR="000A795B" w:rsidRPr="00A245F3" w:rsidRDefault="000A795B">
      <w:pPr>
        <w:rPr>
          <w:rFonts w:ascii="Arial" w:hAnsi="Arial" w:cs="Arial"/>
          <w:b/>
          <w:sz w:val="16"/>
          <w:szCs w:val="18"/>
        </w:rPr>
      </w:pPr>
      <w:r>
        <w:rPr>
          <w:rFonts w:ascii="Arial" w:hAnsi="Arial"/>
          <w:b/>
          <w:sz w:val="16"/>
        </w:rPr>
        <w:t xml:space="preserve">Getzner </w:t>
      </w:r>
      <w:proofErr w:type="spellStart"/>
      <w:r>
        <w:rPr>
          <w:rFonts w:ascii="Arial" w:hAnsi="Arial"/>
          <w:b/>
          <w:sz w:val="16"/>
        </w:rPr>
        <w:t>Werkstoffe</w:t>
      </w:r>
      <w:proofErr w:type="spellEnd"/>
      <w:r>
        <w:rPr>
          <w:rFonts w:ascii="Arial" w:hAnsi="Arial"/>
          <w:b/>
          <w:sz w:val="16"/>
        </w:rPr>
        <w:t xml:space="preserve"> </w:t>
      </w:r>
      <w:proofErr w:type="spellStart"/>
      <w:r>
        <w:rPr>
          <w:rFonts w:ascii="Arial" w:hAnsi="Arial"/>
          <w:b/>
          <w:sz w:val="16"/>
        </w:rPr>
        <w:t>GmbH</w:t>
      </w:r>
      <w:proofErr w:type="spellEnd"/>
      <w:r>
        <w:rPr>
          <w:rFonts w:ascii="Arial" w:hAnsi="Arial"/>
          <w:b/>
          <w:sz w:val="16"/>
        </w:rPr>
        <w:t xml:space="preserve"> – faits et chiffres </w:t>
      </w:r>
    </w:p>
    <w:p w14:paraId="6D1439D7" w14:textId="77777777" w:rsidR="000A795B" w:rsidRPr="00A245F3" w:rsidRDefault="000A795B">
      <w:pPr>
        <w:rPr>
          <w:rFonts w:ascii="Arial" w:hAnsi="Arial" w:cs="Arial"/>
          <w:sz w:val="16"/>
          <w:szCs w:val="18"/>
        </w:rPr>
      </w:pPr>
      <w:r>
        <w:rPr>
          <w:rFonts w:ascii="Arial" w:hAnsi="Arial"/>
          <w:sz w:val="16"/>
        </w:rPr>
        <w:t>Fondation :</w:t>
      </w:r>
      <w:r>
        <w:tab/>
      </w:r>
      <w:r>
        <w:tab/>
      </w:r>
      <w:r>
        <w:rPr>
          <w:rFonts w:ascii="Arial" w:hAnsi="Arial"/>
          <w:sz w:val="16"/>
        </w:rPr>
        <w:t xml:space="preserve">1969 (en tant que filiale de la société Getzner, </w:t>
      </w:r>
      <w:proofErr w:type="spellStart"/>
      <w:r>
        <w:rPr>
          <w:rFonts w:ascii="Arial" w:hAnsi="Arial"/>
          <w:sz w:val="16"/>
        </w:rPr>
        <w:t>Mutter</w:t>
      </w:r>
      <w:proofErr w:type="spellEnd"/>
      <w:r>
        <w:rPr>
          <w:rFonts w:ascii="Arial" w:hAnsi="Arial"/>
          <w:sz w:val="16"/>
        </w:rPr>
        <w:t> &amp; Cie)</w:t>
      </w:r>
    </w:p>
    <w:p w14:paraId="3BFBE524" w14:textId="77777777" w:rsidR="000A795B" w:rsidRPr="00A245F3" w:rsidRDefault="000A795B">
      <w:pPr>
        <w:rPr>
          <w:rFonts w:ascii="Arial" w:hAnsi="Arial" w:cs="Arial"/>
          <w:sz w:val="16"/>
          <w:szCs w:val="18"/>
        </w:rPr>
      </w:pPr>
      <w:r>
        <w:rPr>
          <w:rFonts w:ascii="Arial" w:hAnsi="Arial"/>
          <w:sz w:val="16"/>
        </w:rPr>
        <w:t xml:space="preserve">Directeur général : </w:t>
      </w:r>
      <w:r>
        <w:tab/>
      </w:r>
      <w:r>
        <w:tab/>
      </w:r>
      <w:r>
        <w:rPr>
          <w:rFonts w:ascii="Arial" w:hAnsi="Arial"/>
          <w:sz w:val="16"/>
        </w:rPr>
        <w:t xml:space="preserve">Jürgen </w:t>
      </w:r>
      <w:proofErr w:type="spellStart"/>
      <w:r>
        <w:rPr>
          <w:rFonts w:ascii="Arial" w:hAnsi="Arial"/>
          <w:sz w:val="16"/>
        </w:rPr>
        <w:t>Rainalter</w:t>
      </w:r>
      <w:proofErr w:type="spellEnd"/>
      <w:r>
        <w:rPr>
          <w:rFonts w:ascii="Arial" w:hAnsi="Arial"/>
          <w:sz w:val="16"/>
        </w:rPr>
        <w:t>, ingénieur</w:t>
      </w:r>
    </w:p>
    <w:p w14:paraId="49926F9E" w14:textId="2D786D5C" w:rsidR="000A795B" w:rsidRPr="00A245F3" w:rsidRDefault="000A795B">
      <w:pPr>
        <w:rPr>
          <w:rFonts w:ascii="Arial" w:hAnsi="Arial" w:cs="Arial"/>
          <w:sz w:val="16"/>
          <w:szCs w:val="18"/>
        </w:rPr>
      </w:pPr>
      <w:r>
        <w:rPr>
          <w:rFonts w:ascii="Arial" w:hAnsi="Arial"/>
          <w:sz w:val="16"/>
        </w:rPr>
        <w:t>Collaborateurs :</w:t>
      </w:r>
      <w:r>
        <w:tab/>
      </w:r>
      <w:r>
        <w:tab/>
      </w:r>
      <w:r>
        <w:rPr>
          <w:rFonts w:ascii="Arial" w:hAnsi="Arial"/>
          <w:sz w:val="16"/>
        </w:rPr>
        <w:t xml:space="preserve">380 (dont 260 sur le site de </w:t>
      </w:r>
      <w:proofErr w:type="spellStart"/>
      <w:r>
        <w:rPr>
          <w:rFonts w:ascii="Arial" w:hAnsi="Arial"/>
          <w:sz w:val="16"/>
        </w:rPr>
        <w:t>Buers</w:t>
      </w:r>
      <w:proofErr w:type="spellEnd"/>
      <w:r>
        <w:rPr>
          <w:rFonts w:ascii="Arial" w:hAnsi="Arial"/>
          <w:sz w:val="16"/>
        </w:rPr>
        <w:t>)</w:t>
      </w:r>
    </w:p>
    <w:p w14:paraId="11D0DC90" w14:textId="1687939E" w:rsidR="000A795B" w:rsidRPr="00A245F3" w:rsidRDefault="000A795B">
      <w:pPr>
        <w:rPr>
          <w:rFonts w:ascii="Arial" w:hAnsi="Arial" w:cs="Arial"/>
          <w:sz w:val="16"/>
          <w:szCs w:val="18"/>
        </w:rPr>
      </w:pPr>
      <w:r>
        <w:rPr>
          <w:rFonts w:ascii="Arial" w:hAnsi="Arial"/>
          <w:sz w:val="16"/>
        </w:rPr>
        <w:t>Chiffre d’affaires 2016 :</w:t>
      </w:r>
      <w:r w:rsidR="007E3A97">
        <w:tab/>
      </w:r>
      <w:r>
        <w:rPr>
          <w:rFonts w:ascii="Arial" w:hAnsi="Arial"/>
          <w:sz w:val="16"/>
        </w:rPr>
        <w:t>80,4 millions d’euros</w:t>
      </w:r>
    </w:p>
    <w:p w14:paraId="14AA43D3" w14:textId="707EC144" w:rsidR="000A795B" w:rsidRPr="003D017D" w:rsidRDefault="000A795B">
      <w:pPr>
        <w:rPr>
          <w:rFonts w:ascii="Arial" w:hAnsi="Arial" w:cs="Arial"/>
          <w:sz w:val="16"/>
          <w:szCs w:val="18"/>
        </w:rPr>
      </w:pPr>
      <w:r>
        <w:rPr>
          <w:rFonts w:ascii="Arial" w:hAnsi="Arial"/>
          <w:sz w:val="16"/>
        </w:rPr>
        <w:t>Secteurs d’activité :</w:t>
      </w:r>
      <w:r>
        <w:tab/>
      </w:r>
      <w:r>
        <w:tab/>
      </w:r>
      <w:r>
        <w:rPr>
          <w:rFonts w:ascii="Arial" w:hAnsi="Arial"/>
          <w:sz w:val="16"/>
        </w:rPr>
        <w:t>ferroviaire, bâtiment, industrie</w:t>
      </w:r>
    </w:p>
    <w:p w14:paraId="1F3F19F1" w14:textId="6A36DD74" w:rsidR="000A795B" w:rsidRPr="00A245F3" w:rsidRDefault="000A795B">
      <w:pPr>
        <w:rPr>
          <w:rFonts w:ascii="Arial" w:hAnsi="Arial" w:cs="Arial"/>
          <w:sz w:val="16"/>
          <w:szCs w:val="18"/>
        </w:rPr>
      </w:pPr>
      <w:r>
        <w:rPr>
          <w:rFonts w:ascii="Arial" w:hAnsi="Arial"/>
          <w:sz w:val="16"/>
        </w:rPr>
        <w:t xml:space="preserve">Siège social : </w:t>
      </w:r>
      <w:r>
        <w:tab/>
      </w:r>
      <w:r>
        <w:tab/>
      </w:r>
      <w:proofErr w:type="spellStart"/>
      <w:r>
        <w:rPr>
          <w:rFonts w:ascii="Arial" w:hAnsi="Arial"/>
          <w:sz w:val="16"/>
        </w:rPr>
        <w:t>Buers</w:t>
      </w:r>
      <w:proofErr w:type="spellEnd"/>
      <w:r>
        <w:rPr>
          <w:rFonts w:ascii="Arial" w:hAnsi="Arial"/>
          <w:sz w:val="16"/>
        </w:rPr>
        <w:t xml:space="preserve"> (AT)</w:t>
      </w:r>
      <w:r>
        <w:rPr>
          <w:rFonts w:ascii="Arial" w:hAnsi="Arial" w:cs="Arial"/>
          <w:sz w:val="16"/>
          <w:szCs w:val="18"/>
        </w:rPr>
        <w:br/>
      </w:r>
      <w:r>
        <w:rPr>
          <w:rFonts w:ascii="Arial" w:hAnsi="Arial"/>
          <w:sz w:val="16"/>
        </w:rPr>
        <w:t>Sites :</w:t>
      </w:r>
      <w:r>
        <w:tab/>
      </w:r>
      <w:r>
        <w:tab/>
      </w:r>
      <w:r w:rsidR="007E3A97">
        <w:tab/>
      </w:r>
      <w:r>
        <w:rPr>
          <w:rFonts w:ascii="Arial" w:hAnsi="Arial"/>
          <w:sz w:val="16"/>
        </w:rPr>
        <w:t xml:space="preserve">Pékin, Kunshan (CN), Munich, Berlin, Stuttgart (DE), Lyon (FR), </w:t>
      </w:r>
      <w:r>
        <w:rPr>
          <w:rFonts w:ascii="Arial" w:hAnsi="Arial" w:cs="Arial"/>
          <w:sz w:val="16"/>
          <w:szCs w:val="18"/>
        </w:rPr>
        <w:br/>
      </w:r>
      <w:r>
        <w:tab/>
      </w:r>
      <w:r>
        <w:tab/>
      </w:r>
      <w:r>
        <w:tab/>
      </w:r>
      <w:r>
        <w:rPr>
          <w:rFonts w:ascii="Arial" w:hAnsi="Arial"/>
          <w:sz w:val="16"/>
        </w:rPr>
        <w:t xml:space="preserve">Pune (IN), Amman (JO), Tokyo (JP), Charlotte (US) </w:t>
      </w:r>
    </w:p>
    <w:p w14:paraId="52D2E5BA" w14:textId="3BBEFC43" w:rsidR="000A795B" w:rsidRPr="00A245F3" w:rsidRDefault="000A795B">
      <w:pPr>
        <w:rPr>
          <w:rFonts w:ascii="Arial" w:hAnsi="Arial" w:cs="Arial"/>
          <w:sz w:val="16"/>
          <w:szCs w:val="18"/>
        </w:rPr>
      </w:pPr>
      <w:r>
        <w:rPr>
          <w:rFonts w:ascii="Arial" w:hAnsi="Arial"/>
          <w:sz w:val="16"/>
        </w:rPr>
        <w:t>Part des exportations :</w:t>
      </w:r>
      <w:r w:rsidR="007E3A97">
        <w:tab/>
      </w:r>
      <w:r>
        <w:rPr>
          <w:rFonts w:ascii="Arial" w:hAnsi="Arial"/>
          <w:sz w:val="16"/>
        </w:rPr>
        <w:t>90 %</w:t>
      </w:r>
    </w:p>
    <w:p w14:paraId="1A5DABCF" w14:textId="77777777" w:rsidR="000A795B" w:rsidRPr="00A245F3" w:rsidRDefault="000A795B">
      <w:pPr>
        <w:rPr>
          <w:rFonts w:ascii="Arial" w:hAnsi="Arial" w:cs="Arial"/>
          <w:b/>
          <w:sz w:val="20"/>
        </w:rPr>
      </w:pPr>
    </w:p>
    <w:p w14:paraId="1694F101" w14:textId="77777777" w:rsidR="001B48AE" w:rsidRPr="00A245F3" w:rsidRDefault="001B48AE">
      <w:pPr>
        <w:rPr>
          <w:rFonts w:ascii="Arial" w:hAnsi="Arial" w:cs="Arial"/>
          <w:b/>
          <w:sz w:val="20"/>
        </w:rPr>
      </w:pPr>
    </w:p>
    <w:p w14:paraId="6AEE6DCE" w14:textId="77777777" w:rsidR="004A73B5" w:rsidRPr="00A245F3" w:rsidRDefault="004A73B5">
      <w:pPr>
        <w:rPr>
          <w:rFonts w:ascii="Arial" w:hAnsi="Arial" w:cs="Arial"/>
          <w:b/>
          <w:sz w:val="20"/>
        </w:rPr>
        <w:sectPr w:rsidR="004A73B5" w:rsidRPr="00A245F3" w:rsidSect="00750F59">
          <w:pgSz w:w="11900" w:h="16840"/>
          <w:pgMar w:top="1440" w:right="1800" w:bottom="1440" w:left="1800" w:header="708" w:footer="708" w:gutter="0"/>
          <w:cols w:space="708"/>
          <w:docGrid w:linePitch="360"/>
        </w:sectPr>
      </w:pPr>
    </w:p>
    <w:p w14:paraId="57F76BC0" w14:textId="77777777" w:rsidR="001B48AE" w:rsidRPr="00A245F3" w:rsidRDefault="001B48AE">
      <w:pPr>
        <w:rPr>
          <w:rFonts w:ascii="Arial" w:hAnsi="Arial" w:cs="Arial"/>
          <w:b/>
          <w:sz w:val="20"/>
        </w:rPr>
      </w:pPr>
      <w:r>
        <w:rPr>
          <w:rFonts w:ascii="Arial" w:hAnsi="Arial"/>
          <w:b/>
          <w:sz w:val="20"/>
        </w:rPr>
        <w:lastRenderedPageBreak/>
        <w:t>Informations complémentaires :</w:t>
      </w:r>
    </w:p>
    <w:p w14:paraId="79926AC0" w14:textId="77777777" w:rsidR="00A71369" w:rsidRPr="007E3A97" w:rsidRDefault="001B48AE">
      <w:pPr>
        <w:rPr>
          <w:rFonts w:ascii="Arial" w:hAnsi="Arial" w:cs="Arial"/>
          <w:color w:val="000000" w:themeColor="text1"/>
          <w:sz w:val="20"/>
          <w:lang w:val="de-AT"/>
        </w:rPr>
      </w:pPr>
      <w:r w:rsidRPr="007E3A97">
        <w:rPr>
          <w:rFonts w:ascii="Arial" w:hAnsi="Arial"/>
          <w:sz w:val="20"/>
          <w:lang w:val="de-AT"/>
        </w:rPr>
        <w:t>Getzner Werkstoffe GmbH</w:t>
      </w:r>
      <w:r w:rsidRPr="007E3A97">
        <w:rPr>
          <w:rFonts w:ascii="Arial" w:hAnsi="Arial" w:cs="Arial"/>
          <w:sz w:val="20"/>
          <w:lang w:val="de-AT"/>
        </w:rPr>
        <w:br/>
      </w:r>
      <w:r w:rsidRPr="007E3A97">
        <w:rPr>
          <w:rFonts w:ascii="Arial" w:hAnsi="Arial"/>
          <w:color w:val="000000" w:themeColor="text1"/>
          <w:sz w:val="20"/>
          <w:lang w:val="de-AT"/>
        </w:rPr>
        <w:t xml:space="preserve">Andreas </w:t>
      </w:r>
      <w:proofErr w:type="spellStart"/>
      <w:r w:rsidRPr="007E3A97">
        <w:rPr>
          <w:rFonts w:ascii="Arial" w:hAnsi="Arial"/>
          <w:color w:val="000000" w:themeColor="text1"/>
          <w:sz w:val="20"/>
          <w:lang w:val="de-AT"/>
        </w:rPr>
        <w:t>Mallaun</w:t>
      </w:r>
      <w:proofErr w:type="spellEnd"/>
      <w:r w:rsidRPr="007E3A97">
        <w:rPr>
          <w:rFonts w:ascii="Arial" w:hAnsi="Arial"/>
          <w:color w:val="000000" w:themeColor="text1"/>
          <w:sz w:val="20"/>
          <w:lang w:val="de-AT"/>
        </w:rPr>
        <w:t xml:space="preserve"> </w:t>
      </w:r>
    </w:p>
    <w:p w14:paraId="49ED7E97" w14:textId="61D15A35" w:rsidR="001B48AE" w:rsidRPr="007E3A97" w:rsidRDefault="001B48AE">
      <w:pPr>
        <w:rPr>
          <w:rFonts w:ascii="Arial" w:hAnsi="Arial" w:cs="Arial"/>
          <w:color w:val="000000" w:themeColor="text1"/>
          <w:sz w:val="20"/>
          <w:lang w:val="de-AT"/>
        </w:rPr>
      </w:pPr>
      <w:r w:rsidRPr="007E3A97">
        <w:rPr>
          <w:rFonts w:ascii="Arial" w:hAnsi="Arial"/>
          <w:color w:val="000000" w:themeColor="text1"/>
          <w:sz w:val="20"/>
          <w:lang w:val="de-AT"/>
        </w:rPr>
        <w:t>T : +43-5552-201-1863</w:t>
      </w:r>
      <w:r w:rsidRPr="007E3A97">
        <w:rPr>
          <w:rFonts w:ascii="Arial" w:hAnsi="Arial" w:cs="Arial"/>
          <w:color w:val="000000" w:themeColor="text1"/>
          <w:sz w:val="20"/>
          <w:lang w:val="de-AT"/>
        </w:rPr>
        <w:br/>
      </w:r>
      <w:r w:rsidRPr="007E3A97">
        <w:rPr>
          <w:rFonts w:ascii="Arial" w:hAnsi="Arial"/>
          <w:color w:val="000000" w:themeColor="text1"/>
          <w:sz w:val="20"/>
          <w:lang w:val="de-AT"/>
        </w:rPr>
        <w:t>andreas.mallaun@getzner.com</w:t>
      </w:r>
    </w:p>
    <w:p w14:paraId="371E3887" w14:textId="77777777" w:rsidR="001B48AE" w:rsidRPr="007E3A97" w:rsidRDefault="001B48AE">
      <w:pPr>
        <w:rPr>
          <w:rFonts w:ascii="Arial" w:hAnsi="Arial" w:cs="Arial"/>
          <w:sz w:val="20"/>
          <w:lang w:val="de-AT"/>
        </w:rPr>
      </w:pPr>
      <w:proofErr w:type="spellStart"/>
      <w:r w:rsidRPr="007E3A97">
        <w:rPr>
          <w:rFonts w:ascii="Arial" w:hAnsi="Arial"/>
          <w:sz w:val="20"/>
          <w:lang w:val="de-AT"/>
        </w:rPr>
        <w:lastRenderedPageBreak/>
        <w:t>Contact</w:t>
      </w:r>
      <w:proofErr w:type="spellEnd"/>
      <w:r w:rsidRPr="007E3A97">
        <w:rPr>
          <w:rFonts w:ascii="Arial" w:hAnsi="Arial"/>
          <w:sz w:val="20"/>
          <w:lang w:val="de-AT"/>
        </w:rPr>
        <w:t xml:space="preserve"> presse :</w:t>
      </w:r>
      <w:r w:rsidRPr="007E3A97">
        <w:rPr>
          <w:rFonts w:ascii="Arial" w:hAnsi="Arial" w:cs="Arial"/>
          <w:sz w:val="20"/>
          <w:lang w:val="de-AT"/>
        </w:rPr>
        <w:br/>
      </w:r>
      <w:r w:rsidRPr="007E3A97">
        <w:rPr>
          <w:rFonts w:ascii="Arial" w:hAnsi="Arial"/>
          <w:sz w:val="20"/>
          <w:lang w:val="de-AT"/>
        </w:rPr>
        <w:t>ikp Vorarlberg GmbH</w:t>
      </w:r>
      <w:r w:rsidRPr="007E3A97">
        <w:rPr>
          <w:rFonts w:ascii="Arial" w:hAnsi="Arial" w:cs="Arial"/>
          <w:sz w:val="20"/>
          <w:lang w:val="de-AT"/>
        </w:rPr>
        <w:br/>
      </w:r>
      <w:r w:rsidRPr="007E3A97">
        <w:rPr>
          <w:rFonts w:ascii="Arial" w:hAnsi="Arial"/>
          <w:sz w:val="20"/>
          <w:lang w:val="de-AT"/>
        </w:rPr>
        <w:t>Wanda Mikulec-Schwarz</w:t>
      </w:r>
    </w:p>
    <w:p w14:paraId="3D2BAC8D" w14:textId="547F87EB" w:rsidR="004A73B5" w:rsidRPr="00A245F3" w:rsidRDefault="001B48AE">
      <w:pPr>
        <w:suppressAutoHyphens/>
        <w:rPr>
          <w:rFonts w:ascii="Arial" w:hAnsi="Arial" w:cs="Arial"/>
          <w:sz w:val="20"/>
        </w:rPr>
        <w:sectPr w:rsidR="004A73B5" w:rsidRPr="00A245F3" w:rsidSect="00E0604D">
          <w:type w:val="continuous"/>
          <w:pgSz w:w="11900" w:h="16840"/>
          <w:pgMar w:top="1440" w:right="1800" w:bottom="1440" w:left="1800" w:header="708" w:footer="708" w:gutter="0"/>
          <w:cols w:num="2" w:space="708"/>
          <w:docGrid w:linePitch="360"/>
        </w:sectPr>
      </w:pPr>
      <w:r>
        <w:rPr>
          <w:rFonts w:ascii="Arial" w:hAnsi="Arial"/>
          <w:sz w:val="20"/>
        </w:rPr>
        <w:t>Tél. : +43-5572-398811</w:t>
      </w:r>
      <w:r>
        <w:rPr>
          <w:rFonts w:ascii="Arial" w:hAnsi="Arial" w:cs="Arial"/>
          <w:sz w:val="20"/>
        </w:rPr>
        <w:br/>
      </w:r>
      <w:r>
        <w:rPr>
          <w:rFonts w:ascii="Arial" w:hAnsi="Arial"/>
          <w:sz w:val="20"/>
        </w:rPr>
        <w:t>wanda.schwarz@ikp.at</w:t>
      </w:r>
    </w:p>
    <w:p w14:paraId="18D30ACD" w14:textId="77777777" w:rsidR="009F6D27" w:rsidRPr="00A245F3" w:rsidRDefault="009F6D27">
      <w:pPr>
        <w:rPr>
          <w:rFonts w:ascii="Arial" w:hAnsi="Arial" w:cs="Arial"/>
          <w:color w:val="FF0000"/>
          <w:sz w:val="20"/>
          <w:szCs w:val="22"/>
        </w:rPr>
      </w:pPr>
    </w:p>
    <w:sectPr w:rsidR="009F6D27" w:rsidRPr="00A245F3" w:rsidSect="001B48AE">
      <w:type w:val="continuous"/>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8D91F" w14:textId="77777777" w:rsidR="00CC5432" w:rsidRDefault="00CC5432" w:rsidP="008C5D63">
      <w:r>
        <w:separator/>
      </w:r>
    </w:p>
  </w:endnote>
  <w:endnote w:type="continuationSeparator" w:id="0">
    <w:p w14:paraId="7A1517E1" w14:textId="77777777" w:rsidR="00CC5432" w:rsidRDefault="00CC5432" w:rsidP="008C5D63">
      <w:r>
        <w:continuationSeparator/>
      </w:r>
    </w:p>
  </w:endnote>
  <w:endnote w:type="continuationNotice" w:id="1">
    <w:p w14:paraId="019DE520" w14:textId="77777777" w:rsidR="00CC5432" w:rsidRDefault="00CC5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DAD45" w14:textId="77777777" w:rsidR="00CC5432" w:rsidRDefault="00CC5432" w:rsidP="008C5D63">
      <w:r>
        <w:separator/>
      </w:r>
    </w:p>
  </w:footnote>
  <w:footnote w:type="continuationSeparator" w:id="0">
    <w:p w14:paraId="743F1609" w14:textId="77777777" w:rsidR="00CC5432" w:rsidRDefault="00CC5432" w:rsidP="008C5D63">
      <w:r>
        <w:continuationSeparator/>
      </w:r>
    </w:p>
  </w:footnote>
  <w:footnote w:type="continuationNotice" w:id="1">
    <w:p w14:paraId="52C794E9" w14:textId="77777777" w:rsidR="00CC5432" w:rsidRDefault="00CC5432"/>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C1C55"/>
    <w:multiLevelType w:val="hybridMultilevel"/>
    <w:tmpl w:val="1CEE1F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105B1BDE"/>
    <w:multiLevelType w:val="hybridMultilevel"/>
    <w:tmpl w:val="850EEE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FE00B5B"/>
    <w:multiLevelType w:val="hybridMultilevel"/>
    <w:tmpl w:val="2AE61E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2EC7CE3"/>
    <w:multiLevelType w:val="hybridMultilevel"/>
    <w:tmpl w:val="BF3A9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44C1FE4"/>
    <w:multiLevelType w:val="hybridMultilevel"/>
    <w:tmpl w:val="B1629578"/>
    <w:lvl w:ilvl="0" w:tplc="857EAE1A">
      <w:numFmt w:val="bullet"/>
      <w:lvlText w:val="•"/>
      <w:lvlJc w:val="left"/>
      <w:pPr>
        <w:ind w:left="1080" w:hanging="72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27F51FE"/>
    <w:multiLevelType w:val="hybridMultilevel"/>
    <w:tmpl w:val="64965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3410D9"/>
    <w:multiLevelType w:val="hybridMultilevel"/>
    <w:tmpl w:val="0EE4C7D8"/>
    <w:lvl w:ilvl="0" w:tplc="857EAE1A">
      <w:numFmt w:val="bullet"/>
      <w:lvlText w:val="•"/>
      <w:lvlJc w:val="left"/>
      <w:pPr>
        <w:ind w:left="1440" w:hanging="720"/>
      </w:pPr>
      <w:rPr>
        <w:rFonts w:ascii="Arial" w:eastAsiaTheme="minorEastAsia"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63"/>
    <w:rsid w:val="0000269E"/>
    <w:rsid w:val="0001238A"/>
    <w:rsid w:val="000461CC"/>
    <w:rsid w:val="00056710"/>
    <w:rsid w:val="0006222B"/>
    <w:rsid w:val="00066C98"/>
    <w:rsid w:val="00074E4F"/>
    <w:rsid w:val="000806D3"/>
    <w:rsid w:val="00080FA7"/>
    <w:rsid w:val="00081024"/>
    <w:rsid w:val="0008400C"/>
    <w:rsid w:val="000A795B"/>
    <w:rsid w:val="000B73C5"/>
    <w:rsid w:val="000E145D"/>
    <w:rsid w:val="000E7063"/>
    <w:rsid w:val="000F502C"/>
    <w:rsid w:val="0011622E"/>
    <w:rsid w:val="00132E60"/>
    <w:rsid w:val="00143134"/>
    <w:rsid w:val="00147F6F"/>
    <w:rsid w:val="00163BA6"/>
    <w:rsid w:val="00173CE9"/>
    <w:rsid w:val="00181526"/>
    <w:rsid w:val="00181849"/>
    <w:rsid w:val="0019465A"/>
    <w:rsid w:val="001A31A5"/>
    <w:rsid w:val="001B48AE"/>
    <w:rsid w:val="001C2926"/>
    <w:rsid w:val="001D2F8D"/>
    <w:rsid w:val="001D3052"/>
    <w:rsid w:val="001F6866"/>
    <w:rsid w:val="00206169"/>
    <w:rsid w:val="00211733"/>
    <w:rsid w:val="00214AC2"/>
    <w:rsid w:val="00217C5C"/>
    <w:rsid w:val="00236F17"/>
    <w:rsid w:val="00240B35"/>
    <w:rsid w:val="00241C43"/>
    <w:rsid w:val="00244678"/>
    <w:rsid w:val="00245521"/>
    <w:rsid w:val="00260EA3"/>
    <w:rsid w:val="002679DA"/>
    <w:rsid w:val="00286418"/>
    <w:rsid w:val="0029078C"/>
    <w:rsid w:val="002A2D22"/>
    <w:rsid w:val="002A73E5"/>
    <w:rsid w:val="002B2F47"/>
    <w:rsid w:val="002D0264"/>
    <w:rsid w:val="002D16D8"/>
    <w:rsid w:val="002E2D19"/>
    <w:rsid w:val="002F0896"/>
    <w:rsid w:val="002F467E"/>
    <w:rsid w:val="00303E7B"/>
    <w:rsid w:val="0030480D"/>
    <w:rsid w:val="0030708D"/>
    <w:rsid w:val="00315A74"/>
    <w:rsid w:val="00320EA2"/>
    <w:rsid w:val="003316C3"/>
    <w:rsid w:val="00335019"/>
    <w:rsid w:val="00347A63"/>
    <w:rsid w:val="00352617"/>
    <w:rsid w:val="0035373C"/>
    <w:rsid w:val="00356C41"/>
    <w:rsid w:val="00361271"/>
    <w:rsid w:val="00365AB7"/>
    <w:rsid w:val="00365E11"/>
    <w:rsid w:val="00374864"/>
    <w:rsid w:val="00374D30"/>
    <w:rsid w:val="00386C9C"/>
    <w:rsid w:val="00391CFA"/>
    <w:rsid w:val="003A319A"/>
    <w:rsid w:val="003D017D"/>
    <w:rsid w:val="003E6F47"/>
    <w:rsid w:val="003F6CA1"/>
    <w:rsid w:val="0040157C"/>
    <w:rsid w:val="004078CA"/>
    <w:rsid w:val="00423630"/>
    <w:rsid w:val="00431166"/>
    <w:rsid w:val="00437910"/>
    <w:rsid w:val="00443336"/>
    <w:rsid w:val="00452FC1"/>
    <w:rsid w:val="00463515"/>
    <w:rsid w:val="004742B5"/>
    <w:rsid w:val="00476A3B"/>
    <w:rsid w:val="004804EB"/>
    <w:rsid w:val="00480730"/>
    <w:rsid w:val="00481834"/>
    <w:rsid w:val="0049166A"/>
    <w:rsid w:val="0049274B"/>
    <w:rsid w:val="004A2652"/>
    <w:rsid w:val="004A5EBE"/>
    <w:rsid w:val="004A73B5"/>
    <w:rsid w:val="004B1144"/>
    <w:rsid w:val="004D1FFB"/>
    <w:rsid w:val="004D45E6"/>
    <w:rsid w:val="004E4119"/>
    <w:rsid w:val="004E5A68"/>
    <w:rsid w:val="004E5BB6"/>
    <w:rsid w:val="004E7809"/>
    <w:rsid w:val="005013BD"/>
    <w:rsid w:val="005019CB"/>
    <w:rsid w:val="00503EA0"/>
    <w:rsid w:val="0051146B"/>
    <w:rsid w:val="00523B04"/>
    <w:rsid w:val="0052581C"/>
    <w:rsid w:val="00536C5C"/>
    <w:rsid w:val="0054258E"/>
    <w:rsid w:val="00543BFA"/>
    <w:rsid w:val="00545FEE"/>
    <w:rsid w:val="00553A44"/>
    <w:rsid w:val="00562A8B"/>
    <w:rsid w:val="005706BD"/>
    <w:rsid w:val="00576218"/>
    <w:rsid w:val="00580AF1"/>
    <w:rsid w:val="005845D7"/>
    <w:rsid w:val="005960C5"/>
    <w:rsid w:val="005A08C3"/>
    <w:rsid w:val="005A7C86"/>
    <w:rsid w:val="005C2BF3"/>
    <w:rsid w:val="005C5018"/>
    <w:rsid w:val="005D37EF"/>
    <w:rsid w:val="005D4CB5"/>
    <w:rsid w:val="005E04E3"/>
    <w:rsid w:val="005E0E39"/>
    <w:rsid w:val="005E4539"/>
    <w:rsid w:val="005F42FC"/>
    <w:rsid w:val="005F4B9E"/>
    <w:rsid w:val="00604207"/>
    <w:rsid w:val="006132F0"/>
    <w:rsid w:val="00616B13"/>
    <w:rsid w:val="0063438F"/>
    <w:rsid w:val="006361DD"/>
    <w:rsid w:val="00643B13"/>
    <w:rsid w:val="006467AB"/>
    <w:rsid w:val="00651243"/>
    <w:rsid w:val="00671122"/>
    <w:rsid w:val="006B16FE"/>
    <w:rsid w:val="006B3204"/>
    <w:rsid w:val="006C204B"/>
    <w:rsid w:val="006D2CE0"/>
    <w:rsid w:val="006E588B"/>
    <w:rsid w:val="006F59B4"/>
    <w:rsid w:val="00713AA5"/>
    <w:rsid w:val="00725BA4"/>
    <w:rsid w:val="00731A32"/>
    <w:rsid w:val="00750F59"/>
    <w:rsid w:val="007602BA"/>
    <w:rsid w:val="00767932"/>
    <w:rsid w:val="00780832"/>
    <w:rsid w:val="007826C3"/>
    <w:rsid w:val="00782C3A"/>
    <w:rsid w:val="00783F82"/>
    <w:rsid w:val="007916FD"/>
    <w:rsid w:val="007925B5"/>
    <w:rsid w:val="007A0D21"/>
    <w:rsid w:val="007A4CBD"/>
    <w:rsid w:val="007B6247"/>
    <w:rsid w:val="007C1381"/>
    <w:rsid w:val="007C20BC"/>
    <w:rsid w:val="007D7B07"/>
    <w:rsid w:val="007E021E"/>
    <w:rsid w:val="007E1784"/>
    <w:rsid w:val="007E36B0"/>
    <w:rsid w:val="007E3A97"/>
    <w:rsid w:val="007E5016"/>
    <w:rsid w:val="007F6297"/>
    <w:rsid w:val="0081725D"/>
    <w:rsid w:val="00822981"/>
    <w:rsid w:val="008363D8"/>
    <w:rsid w:val="00866D02"/>
    <w:rsid w:val="00871021"/>
    <w:rsid w:val="008777A3"/>
    <w:rsid w:val="00880BB6"/>
    <w:rsid w:val="008848FA"/>
    <w:rsid w:val="008867FE"/>
    <w:rsid w:val="00891ACA"/>
    <w:rsid w:val="008963CC"/>
    <w:rsid w:val="008C32B5"/>
    <w:rsid w:val="008C4627"/>
    <w:rsid w:val="008C5D63"/>
    <w:rsid w:val="008C6F29"/>
    <w:rsid w:val="008C7275"/>
    <w:rsid w:val="008F2F0B"/>
    <w:rsid w:val="008F3F0F"/>
    <w:rsid w:val="008F6871"/>
    <w:rsid w:val="009040D6"/>
    <w:rsid w:val="00910287"/>
    <w:rsid w:val="00910BA6"/>
    <w:rsid w:val="00912F9B"/>
    <w:rsid w:val="00913146"/>
    <w:rsid w:val="00924220"/>
    <w:rsid w:val="0093170E"/>
    <w:rsid w:val="00931F82"/>
    <w:rsid w:val="009346C3"/>
    <w:rsid w:val="009347F2"/>
    <w:rsid w:val="00937973"/>
    <w:rsid w:val="00952B18"/>
    <w:rsid w:val="00981984"/>
    <w:rsid w:val="00991D87"/>
    <w:rsid w:val="009A4A42"/>
    <w:rsid w:val="009A7FB4"/>
    <w:rsid w:val="009B328B"/>
    <w:rsid w:val="009B3738"/>
    <w:rsid w:val="009B7634"/>
    <w:rsid w:val="009D4AB9"/>
    <w:rsid w:val="009D76E6"/>
    <w:rsid w:val="009F1843"/>
    <w:rsid w:val="009F6D27"/>
    <w:rsid w:val="00A0655F"/>
    <w:rsid w:val="00A10DBF"/>
    <w:rsid w:val="00A245F3"/>
    <w:rsid w:val="00A40501"/>
    <w:rsid w:val="00A43284"/>
    <w:rsid w:val="00A530FE"/>
    <w:rsid w:val="00A71369"/>
    <w:rsid w:val="00A80C5C"/>
    <w:rsid w:val="00A83527"/>
    <w:rsid w:val="00A85900"/>
    <w:rsid w:val="00AA0824"/>
    <w:rsid w:val="00AA16D6"/>
    <w:rsid w:val="00AB04D7"/>
    <w:rsid w:val="00AC1C72"/>
    <w:rsid w:val="00AC341C"/>
    <w:rsid w:val="00AC4BB8"/>
    <w:rsid w:val="00AC70A1"/>
    <w:rsid w:val="00AC7E40"/>
    <w:rsid w:val="00AD47B6"/>
    <w:rsid w:val="00AE2E4F"/>
    <w:rsid w:val="00AF00E8"/>
    <w:rsid w:val="00B116A0"/>
    <w:rsid w:val="00B1683F"/>
    <w:rsid w:val="00B243E8"/>
    <w:rsid w:val="00B24F0A"/>
    <w:rsid w:val="00B270A0"/>
    <w:rsid w:val="00B27A25"/>
    <w:rsid w:val="00B34068"/>
    <w:rsid w:val="00B5605B"/>
    <w:rsid w:val="00B7591B"/>
    <w:rsid w:val="00B91E84"/>
    <w:rsid w:val="00B97083"/>
    <w:rsid w:val="00BA1070"/>
    <w:rsid w:val="00BB615A"/>
    <w:rsid w:val="00BC1812"/>
    <w:rsid w:val="00BC4525"/>
    <w:rsid w:val="00BD3ADF"/>
    <w:rsid w:val="00BD51D9"/>
    <w:rsid w:val="00BD7C56"/>
    <w:rsid w:val="00BE2F82"/>
    <w:rsid w:val="00BF536C"/>
    <w:rsid w:val="00C11E5B"/>
    <w:rsid w:val="00C21B4A"/>
    <w:rsid w:val="00C21C5B"/>
    <w:rsid w:val="00C22F59"/>
    <w:rsid w:val="00C249AE"/>
    <w:rsid w:val="00C2530B"/>
    <w:rsid w:val="00C40B44"/>
    <w:rsid w:val="00C41FDD"/>
    <w:rsid w:val="00C53B84"/>
    <w:rsid w:val="00C604C0"/>
    <w:rsid w:val="00C61FE7"/>
    <w:rsid w:val="00C6271E"/>
    <w:rsid w:val="00C800F2"/>
    <w:rsid w:val="00C81963"/>
    <w:rsid w:val="00CC2B86"/>
    <w:rsid w:val="00CC5432"/>
    <w:rsid w:val="00CD08EB"/>
    <w:rsid w:val="00CD1AB2"/>
    <w:rsid w:val="00CE158D"/>
    <w:rsid w:val="00CE1A37"/>
    <w:rsid w:val="00CE2ACB"/>
    <w:rsid w:val="00CF1E8D"/>
    <w:rsid w:val="00CF772F"/>
    <w:rsid w:val="00D048E8"/>
    <w:rsid w:val="00D136FA"/>
    <w:rsid w:val="00D17D19"/>
    <w:rsid w:val="00D24731"/>
    <w:rsid w:val="00D25AF5"/>
    <w:rsid w:val="00D27ED7"/>
    <w:rsid w:val="00D411B9"/>
    <w:rsid w:val="00D462E0"/>
    <w:rsid w:val="00D4718A"/>
    <w:rsid w:val="00D52BBB"/>
    <w:rsid w:val="00D57D23"/>
    <w:rsid w:val="00D63DF4"/>
    <w:rsid w:val="00D6557F"/>
    <w:rsid w:val="00D711F0"/>
    <w:rsid w:val="00D72D80"/>
    <w:rsid w:val="00D73E9C"/>
    <w:rsid w:val="00D826AC"/>
    <w:rsid w:val="00D83E16"/>
    <w:rsid w:val="00D84A5B"/>
    <w:rsid w:val="00D96643"/>
    <w:rsid w:val="00D97E34"/>
    <w:rsid w:val="00DC033F"/>
    <w:rsid w:val="00DD3DEF"/>
    <w:rsid w:val="00DE281F"/>
    <w:rsid w:val="00DE34C3"/>
    <w:rsid w:val="00DF0A0F"/>
    <w:rsid w:val="00DF3E6D"/>
    <w:rsid w:val="00DF54E8"/>
    <w:rsid w:val="00E00577"/>
    <w:rsid w:val="00E0604D"/>
    <w:rsid w:val="00E15116"/>
    <w:rsid w:val="00E151C9"/>
    <w:rsid w:val="00E23E2A"/>
    <w:rsid w:val="00E36394"/>
    <w:rsid w:val="00E420BB"/>
    <w:rsid w:val="00E43508"/>
    <w:rsid w:val="00E44FF1"/>
    <w:rsid w:val="00E4628E"/>
    <w:rsid w:val="00E5472A"/>
    <w:rsid w:val="00E62F8D"/>
    <w:rsid w:val="00E67DB7"/>
    <w:rsid w:val="00E73E76"/>
    <w:rsid w:val="00E761BB"/>
    <w:rsid w:val="00EA519B"/>
    <w:rsid w:val="00EB22C7"/>
    <w:rsid w:val="00EB47D9"/>
    <w:rsid w:val="00EB6759"/>
    <w:rsid w:val="00EE12B1"/>
    <w:rsid w:val="00EE3A9D"/>
    <w:rsid w:val="00EF6072"/>
    <w:rsid w:val="00EF66EB"/>
    <w:rsid w:val="00F01AF8"/>
    <w:rsid w:val="00F02704"/>
    <w:rsid w:val="00F139BB"/>
    <w:rsid w:val="00F140FD"/>
    <w:rsid w:val="00F15326"/>
    <w:rsid w:val="00F16DA0"/>
    <w:rsid w:val="00F1712E"/>
    <w:rsid w:val="00F20F64"/>
    <w:rsid w:val="00F21280"/>
    <w:rsid w:val="00F22524"/>
    <w:rsid w:val="00F22735"/>
    <w:rsid w:val="00F234B6"/>
    <w:rsid w:val="00F2508C"/>
    <w:rsid w:val="00F25D17"/>
    <w:rsid w:val="00F279CF"/>
    <w:rsid w:val="00F33B08"/>
    <w:rsid w:val="00F34151"/>
    <w:rsid w:val="00F4690F"/>
    <w:rsid w:val="00F63044"/>
    <w:rsid w:val="00F6411C"/>
    <w:rsid w:val="00F65AE1"/>
    <w:rsid w:val="00F674B2"/>
    <w:rsid w:val="00F720C5"/>
    <w:rsid w:val="00F92D0C"/>
    <w:rsid w:val="00F9402D"/>
    <w:rsid w:val="00FA2645"/>
    <w:rsid w:val="00FB38F6"/>
    <w:rsid w:val="00FC7FA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8C458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fr-FR"/>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8C5D63"/>
    <w:rPr>
      <w:sz w:val="18"/>
      <w:szCs w:val="18"/>
    </w:rPr>
  </w:style>
  <w:style w:type="paragraph" w:styleId="Kommentartext">
    <w:name w:val="annotation text"/>
    <w:basedOn w:val="Standard"/>
    <w:link w:val="KommentartextZchn"/>
    <w:uiPriority w:val="99"/>
    <w:semiHidden/>
    <w:unhideWhenUsed/>
    <w:rsid w:val="008C5D63"/>
  </w:style>
  <w:style w:type="character" w:customStyle="1" w:styleId="KommentartextZchn">
    <w:name w:val="Kommentartext Zchn"/>
    <w:basedOn w:val="Absatz-Standardschriftart"/>
    <w:link w:val="Kommentartext"/>
    <w:uiPriority w:val="99"/>
    <w:semiHidden/>
    <w:rsid w:val="008C5D63"/>
  </w:style>
  <w:style w:type="paragraph" w:styleId="Kommentarthema">
    <w:name w:val="annotation subject"/>
    <w:basedOn w:val="Kommentartext"/>
    <w:next w:val="Kommentartext"/>
    <w:link w:val="KommentarthemaZchn"/>
    <w:uiPriority w:val="99"/>
    <w:semiHidden/>
    <w:unhideWhenUsed/>
    <w:rsid w:val="008C5D63"/>
    <w:rPr>
      <w:b/>
      <w:bCs/>
      <w:sz w:val="20"/>
      <w:szCs w:val="20"/>
    </w:rPr>
  </w:style>
  <w:style w:type="character" w:customStyle="1" w:styleId="KommentarthemaZchn">
    <w:name w:val="Kommentarthema Zchn"/>
    <w:basedOn w:val="KommentartextZchn"/>
    <w:link w:val="Kommentarthema"/>
    <w:uiPriority w:val="99"/>
    <w:semiHidden/>
    <w:rsid w:val="008C5D63"/>
    <w:rPr>
      <w:b/>
      <w:bCs/>
      <w:sz w:val="20"/>
      <w:szCs w:val="20"/>
    </w:rPr>
  </w:style>
  <w:style w:type="paragraph" w:styleId="Sprechblasentext">
    <w:name w:val="Balloon Text"/>
    <w:basedOn w:val="Standard"/>
    <w:link w:val="SprechblasentextZchn"/>
    <w:uiPriority w:val="99"/>
    <w:semiHidden/>
    <w:unhideWhenUsed/>
    <w:rsid w:val="008C5D6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C5D63"/>
    <w:rPr>
      <w:rFonts w:ascii="Lucida Grande" w:hAnsi="Lucida Grande" w:cs="Lucida Grande"/>
      <w:sz w:val="18"/>
      <w:szCs w:val="18"/>
    </w:rPr>
  </w:style>
  <w:style w:type="paragraph" w:styleId="Kopfzeile">
    <w:name w:val="header"/>
    <w:basedOn w:val="Standard"/>
    <w:link w:val="KopfzeileZchn"/>
    <w:uiPriority w:val="99"/>
    <w:unhideWhenUsed/>
    <w:rsid w:val="008C5D63"/>
    <w:pPr>
      <w:tabs>
        <w:tab w:val="center" w:pos="4153"/>
        <w:tab w:val="right" w:pos="8306"/>
      </w:tabs>
    </w:pPr>
  </w:style>
  <w:style w:type="character" w:customStyle="1" w:styleId="KopfzeileZchn">
    <w:name w:val="Kopfzeile Zchn"/>
    <w:basedOn w:val="Absatz-Standardschriftart"/>
    <w:link w:val="Kopfzeile"/>
    <w:uiPriority w:val="99"/>
    <w:rsid w:val="008C5D63"/>
  </w:style>
  <w:style w:type="paragraph" w:styleId="Fuzeile">
    <w:name w:val="footer"/>
    <w:basedOn w:val="Standard"/>
    <w:link w:val="FuzeileZchn"/>
    <w:uiPriority w:val="99"/>
    <w:unhideWhenUsed/>
    <w:rsid w:val="008C5D63"/>
    <w:pPr>
      <w:tabs>
        <w:tab w:val="center" w:pos="4153"/>
        <w:tab w:val="right" w:pos="8306"/>
      </w:tabs>
    </w:pPr>
  </w:style>
  <w:style w:type="character" w:customStyle="1" w:styleId="FuzeileZchn">
    <w:name w:val="Fußzeile Zchn"/>
    <w:basedOn w:val="Absatz-Standardschriftart"/>
    <w:link w:val="Fuzeile"/>
    <w:uiPriority w:val="99"/>
    <w:rsid w:val="008C5D63"/>
  </w:style>
  <w:style w:type="paragraph" w:styleId="Listenabsatz">
    <w:name w:val="List Paragraph"/>
    <w:basedOn w:val="Standard"/>
    <w:uiPriority w:val="34"/>
    <w:qFormat/>
    <w:rsid w:val="00BC4525"/>
    <w:pPr>
      <w:ind w:left="720"/>
      <w:contextualSpacing/>
    </w:pPr>
  </w:style>
  <w:style w:type="character" w:styleId="Link">
    <w:name w:val="Hyperlink"/>
    <w:basedOn w:val="Absatz-Standardschriftart"/>
    <w:uiPriority w:val="99"/>
    <w:unhideWhenUsed/>
    <w:rsid w:val="000A795B"/>
    <w:rPr>
      <w:color w:val="0000FF" w:themeColor="hyperlink"/>
      <w:u w:val="single"/>
    </w:rPr>
  </w:style>
  <w:style w:type="paragraph" w:styleId="StandardWeb">
    <w:name w:val="Normal (Web)"/>
    <w:basedOn w:val="Standard"/>
    <w:uiPriority w:val="99"/>
    <w:unhideWhenUsed/>
    <w:rsid w:val="00782C3A"/>
    <w:pPr>
      <w:spacing w:before="100" w:beforeAutospacing="1" w:after="100" w:afterAutospacing="1"/>
    </w:pPr>
    <w:rPr>
      <w:rFonts w:ascii="Times" w:hAnsi="Times" w:cs="Times New Roman"/>
      <w:sz w:val="20"/>
      <w:szCs w:val="20"/>
    </w:rPr>
  </w:style>
  <w:style w:type="character" w:customStyle="1" w:styleId="hcf-location-mark">
    <w:name w:val="hcf-location-mark"/>
    <w:basedOn w:val="Absatz-Standardschriftart"/>
    <w:rsid w:val="00782C3A"/>
  </w:style>
  <w:style w:type="paragraph" w:customStyle="1" w:styleId="p1">
    <w:name w:val="p1"/>
    <w:basedOn w:val="Standard"/>
    <w:rsid w:val="00391CFA"/>
    <w:rPr>
      <w:rFonts w:ascii="Calibri" w:hAnsi="Calibri" w:cs="Times New Roman"/>
      <w:sz w:val="22"/>
      <w:szCs w:val="22"/>
    </w:rPr>
  </w:style>
  <w:style w:type="character" w:customStyle="1" w:styleId="s1">
    <w:name w:val="s1"/>
    <w:basedOn w:val="Absatz-Standardschriftart"/>
    <w:rsid w:val="00391CFA"/>
  </w:style>
  <w:style w:type="paragraph" w:styleId="Beschriftung">
    <w:name w:val="caption"/>
    <w:basedOn w:val="Standard"/>
    <w:next w:val="Standard"/>
    <w:uiPriority w:val="35"/>
    <w:unhideWhenUsed/>
    <w:qFormat/>
    <w:rsid w:val="00E73E7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30253">
      <w:bodyDiv w:val="1"/>
      <w:marLeft w:val="0"/>
      <w:marRight w:val="0"/>
      <w:marTop w:val="0"/>
      <w:marBottom w:val="0"/>
      <w:divBdr>
        <w:top w:val="none" w:sz="0" w:space="0" w:color="auto"/>
        <w:left w:val="none" w:sz="0" w:space="0" w:color="auto"/>
        <w:bottom w:val="none" w:sz="0" w:space="0" w:color="auto"/>
        <w:right w:val="none" w:sz="0" w:space="0" w:color="auto"/>
      </w:divBdr>
    </w:div>
    <w:div w:id="363867352">
      <w:bodyDiv w:val="1"/>
      <w:marLeft w:val="0"/>
      <w:marRight w:val="0"/>
      <w:marTop w:val="0"/>
      <w:marBottom w:val="0"/>
      <w:divBdr>
        <w:top w:val="none" w:sz="0" w:space="0" w:color="auto"/>
        <w:left w:val="none" w:sz="0" w:space="0" w:color="auto"/>
        <w:bottom w:val="none" w:sz="0" w:space="0" w:color="auto"/>
        <w:right w:val="none" w:sz="0" w:space="0" w:color="auto"/>
      </w:divBdr>
    </w:div>
    <w:div w:id="392898372">
      <w:bodyDiv w:val="1"/>
      <w:marLeft w:val="0"/>
      <w:marRight w:val="0"/>
      <w:marTop w:val="0"/>
      <w:marBottom w:val="0"/>
      <w:divBdr>
        <w:top w:val="none" w:sz="0" w:space="0" w:color="auto"/>
        <w:left w:val="none" w:sz="0" w:space="0" w:color="auto"/>
        <w:bottom w:val="none" w:sz="0" w:space="0" w:color="auto"/>
        <w:right w:val="none" w:sz="0" w:space="0" w:color="auto"/>
      </w:divBdr>
    </w:div>
    <w:div w:id="623118245">
      <w:bodyDiv w:val="1"/>
      <w:marLeft w:val="0"/>
      <w:marRight w:val="0"/>
      <w:marTop w:val="0"/>
      <w:marBottom w:val="0"/>
      <w:divBdr>
        <w:top w:val="none" w:sz="0" w:space="0" w:color="auto"/>
        <w:left w:val="none" w:sz="0" w:space="0" w:color="auto"/>
        <w:bottom w:val="none" w:sz="0" w:space="0" w:color="auto"/>
        <w:right w:val="none" w:sz="0" w:space="0" w:color="auto"/>
      </w:divBdr>
    </w:div>
    <w:div w:id="632752170">
      <w:bodyDiv w:val="1"/>
      <w:marLeft w:val="0"/>
      <w:marRight w:val="0"/>
      <w:marTop w:val="0"/>
      <w:marBottom w:val="0"/>
      <w:divBdr>
        <w:top w:val="none" w:sz="0" w:space="0" w:color="auto"/>
        <w:left w:val="none" w:sz="0" w:space="0" w:color="auto"/>
        <w:bottom w:val="none" w:sz="0" w:space="0" w:color="auto"/>
        <w:right w:val="none" w:sz="0" w:space="0" w:color="auto"/>
      </w:divBdr>
    </w:div>
    <w:div w:id="684092537">
      <w:bodyDiv w:val="1"/>
      <w:marLeft w:val="0"/>
      <w:marRight w:val="0"/>
      <w:marTop w:val="0"/>
      <w:marBottom w:val="0"/>
      <w:divBdr>
        <w:top w:val="none" w:sz="0" w:space="0" w:color="auto"/>
        <w:left w:val="none" w:sz="0" w:space="0" w:color="auto"/>
        <w:bottom w:val="none" w:sz="0" w:space="0" w:color="auto"/>
        <w:right w:val="none" w:sz="0" w:space="0" w:color="auto"/>
      </w:divBdr>
    </w:div>
    <w:div w:id="700937295">
      <w:bodyDiv w:val="1"/>
      <w:marLeft w:val="0"/>
      <w:marRight w:val="0"/>
      <w:marTop w:val="0"/>
      <w:marBottom w:val="0"/>
      <w:divBdr>
        <w:top w:val="none" w:sz="0" w:space="0" w:color="auto"/>
        <w:left w:val="none" w:sz="0" w:space="0" w:color="auto"/>
        <w:bottom w:val="none" w:sz="0" w:space="0" w:color="auto"/>
        <w:right w:val="none" w:sz="0" w:space="0" w:color="auto"/>
      </w:divBdr>
    </w:div>
    <w:div w:id="844788575">
      <w:bodyDiv w:val="1"/>
      <w:marLeft w:val="0"/>
      <w:marRight w:val="0"/>
      <w:marTop w:val="0"/>
      <w:marBottom w:val="0"/>
      <w:divBdr>
        <w:top w:val="none" w:sz="0" w:space="0" w:color="auto"/>
        <w:left w:val="none" w:sz="0" w:space="0" w:color="auto"/>
        <w:bottom w:val="none" w:sz="0" w:space="0" w:color="auto"/>
        <w:right w:val="none" w:sz="0" w:space="0" w:color="auto"/>
      </w:divBdr>
    </w:div>
    <w:div w:id="1035959800">
      <w:bodyDiv w:val="1"/>
      <w:marLeft w:val="0"/>
      <w:marRight w:val="0"/>
      <w:marTop w:val="0"/>
      <w:marBottom w:val="0"/>
      <w:divBdr>
        <w:top w:val="none" w:sz="0" w:space="0" w:color="auto"/>
        <w:left w:val="none" w:sz="0" w:space="0" w:color="auto"/>
        <w:bottom w:val="none" w:sz="0" w:space="0" w:color="auto"/>
        <w:right w:val="none" w:sz="0" w:space="0" w:color="auto"/>
      </w:divBdr>
    </w:div>
    <w:div w:id="1502814810">
      <w:bodyDiv w:val="1"/>
      <w:marLeft w:val="0"/>
      <w:marRight w:val="0"/>
      <w:marTop w:val="0"/>
      <w:marBottom w:val="0"/>
      <w:divBdr>
        <w:top w:val="none" w:sz="0" w:space="0" w:color="auto"/>
        <w:left w:val="none" w:sz="0" w:space="0" w:color="auto"/>
        <w:bottom w:val="none" w:sz="0" w:space="0" w:color="auto"/>
        <w:right w:val="none" w:sz="0" w:space="0" w:color="auto"/>
      </w:divBdr>
    </w:div>
    <w:div w:id="1513185954">
      <w:bodyDiv w:val="1"/>
      <w:marLeft w:val="0"/>
      <w:marRight w:val="0"/>
      <w:marTop w:val="0"/>
      <w:marBottom w:val="0"/>
      <w:divBdr>
        <w:top w:val="none" w:sz="0" w:space="0" w:color="auto"/>
        <w:left w:val="none" w:sz="0" w:space="0" w:color="auto"/>
        <w:bottom w:val="none" w:sz="0" w:space="0" w:color="auto"/>
        <w:right w:val="none" w:sz="0" w:space="0" w:color="auto"/>
      </w:divBdr>
    </w:div>
    <w:div w:id="1900675555">
      <w:bodyDiv w:val="1"/>
      <w:marLeft w:val="0"/>
      <w:marRight w:val="0"/>
      <w:marTop w:val="0"/>
      <w:marBottom w:val="0"/>
      <w:divBdr>
        <w:top w:val="none" w:sz="0" w:space="0" w:color="auto"/>
        <w:left w:val="none" w:sz="0" w:space="0" w:color="auto"/>
        <w:bottom w:val="none" w:sz="0" w:space="0" w:color="auto"/>
        <w:right w:val="none" w:sz="0" w:space="0" w:color="auto"/>
      </w:divBdr>
    </w:div>
    <w:div w:id="20910758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getzner.com/fr/produits/produits-pour-le-batiment/suspension-de-batiment-par-plots" TargetMode="External"/><Relationship Id="rId12" Type="http://schemas.openxmlformats.org/officeDocument/2006/relationships/hyperlink" Target="https://www.getzner.com/fr/produits/produits-pour-le-batiment/suspension-par-bande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getzner.com/fr/produits/sylodyn" TargetMode="External"/><Relationship Id="rId10" Type="http://schemas.openxmlformats.org/officeDocument/2006/relationships/hyperlink" Target="https://www.getzner.com/fr/produits/produits-pour-le-batiment/appui-ultraresist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8C205-0EFF-6E41-89AE-BD75B1F4FAF4}">
  <ds:schemaRefs>
    <ds:schemaRef ds:uri="http://schemas.openxmlformats.org/officeDocument/2006/bibliography"/>
  </ds:schemaRefs>
</ds:datastoreItem>
</file>

<file path=customXml/itemProps2.xml><?xml version="1.0" encoding="utf-8"?>
<ds:datastoreItem xmlns:ds="http://schemas.openxmlformats.org/officeDocument/2006/customXml" ds:itemID="{DB4B48E9-BD65-844C-A5F5-B27E3A645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943</Words>
  <Characters>5947</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Microsoft Office-Anwender</cp:lastModifiedBy>
  <cp:revision>14</cp:revision>
  <cp:lastPrinted>2017-07-25T07:29:00Z</cp:lastPrinted>
  <dcterms:created xsi:type="dcterms:W3CDTF">2017-08-21T07:06:00Z</dcterms:created>
  <dcterms:modified xsi:type="dcterms:W3CDTF">2017-10-10T11:04:00Z</dcterms:modified>
</cp:coreProperties>
</file>