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794" w:rsidRDefault="00AB6794" w:rsidP="00562D83">
      <w:pPr>
        <w:autoSpaceDE w:val="0"/>
        <w:autoSpaceDN w:val="0"/>
        <w:adjustRightInd w:val="0"/>
        <w:rPr>
          <w:rFonts w:ascii="Arial" w:hAnsi="Arial" w:cs="Interstate-Light"/>
          <w:color w:val="000000" w:themeColor="text1"/>
        </w:rPr>
      </w:pPr>
      <w:r>
        <w:rPr>
          <w:rFonts w:ascii="Arial" w:hAnsi="Arial"/>
          <w:color w:val="000000" w:themeColor="text1"/>
        </w:rPr>
        <w:t>COMMUNIQUÉ DE PRESSE</w:t>
      </w:r>
    </w:p>
    <w:p w:rsidR="00AB6794" w:rsidRDefault="00AB6794" w:rsidP="00562D83">
      <w:pPr>
        <w:autoSpaceDE w:val="0"/>
        <w:autoSpaceDN w:val="0"/>
        <w:adjustRightInd w:val="0"/>
        <w:rPr>
          <w:rFonts w:ascii="Arial" w:hAnsi="Arial" w:cs="Interstate-Light"/>
          <w:color w:val="000000" w:themeColor="text1"/>
        </w:rPr>
      </w:pPr>
      <w:r>
        <w:rPr>
          <w:rFonts w:ascii="Arial" w:hAnsi="Arial"/>
          <w:color w:val="000000" w:themeColor="text1"/>
        </w:rPr>
        <w:t>XX/XX/2016</w:t>
      </w:r>
    </w:p>
    <w:p w:rsidR="00AB6794" w:rsidRDefault="00AB6794" w:rsidP="00562D83">
      <w:pPr>
        <w:autoSpaceDE w:val="0"/>
        <w:autoSpaceDN w:val="0"/>
        <w:adjustRightInd w:val="0"/>
        <w:rPr>
          <w:rFonts w:ascii="Arial" w:hAnsi="Arial" w:cs="Interstate-Light"/>
          <w:color w:val="000000" w:themeColor="text1"/>
        </w:rPr>
      </w:pPr>
    </w:p>
    <w:p w:rsidR="003D06DE" w:rsidRDefault="005C11C5" w:rsidP="00562D83">
      <w:pPr>
        <w:autoSpaceDE w:val="0"/>
        <w:autoSpaceDN w:val="0"/>
        <w:adjustRightInd w:val="0"/>
        <w:rPr>
          <w:rFonts w:ascii="Arial" w:hAnsi="Arial" w:cs="Interstate-Light"/>
          <w:b/>
          <w:color w:val="000000" w:themeColor="text1"/>
        </w:rPr>
      </w:pPr>
      <w:r>
        <w:rPr>
          <w:rFonts w:ascii="Arial" w:hAnsi="Arial"/>
          <w:b/>
          <w:color w:val="000000" w:themeColor="text1"/>
          <w:sz w:val="28"/>
        </w:rPr>
        <w:t>Matériaux PUR avec agrément technique général certifié</w:t>
      </w:r>
    </w:p>
    <w:p w:rsidR="00765E5F" w:rsidRDefault="00607C3F" w:rsidP="00562D83">
      <w:pPr>
        <w:autoSpaceDE w:val="0"/>
        <w:autoSpaceDN w:val="0"/>
        <w:adjustRightInd w:val="0"/>
        <w:rPr>
          <w:rFonts w:ascii="Arial" w:hAnsi="Arial" w:cs="Interstate-Light"/>
          <w:b/>
          <w:color w:val="000000" w:themeColor="text1"/>
        </w:rPr>
      </w:pPr>
      <w:r>
        <w:rPr>
          <w:rFonts w:ascii="Arial" w:hAnsi="Arial"/>
          <w:b/>
          <w:color w:val="000000" w:themeColor="text1"/>
        </w:rPr>
        <w:t>Getzner Werkstoffe établit de nouveaux critères de qualité dans le secteur du bâtiment</w:t>
      </w:r>
    </w:p>
    <w:p w:rsidR="00607C3F" w:rsidRDefault="00607C3F" w:rsidP="00562D83">
      <w:pPr>
        <w:autoSpaceDE w:val="0"/>
        <w:autoSpaceDN w:val="0"/>
        <w:adjustRightInd w:val="0"/>
        <w:rPr>
          <w:rFonts w:ascii="Arial" w:hAnsi="Arial" w:cs="Interstate-Light"/>
          <w:b/>
          <w:color w:val="000000" w:themeColor="text1"/>
        </w:rPr>
      </w:pPr>
    </w:p>
    <w:p w:rsidR="00170F00" w:rsidRDefault="00B55D29" w:rsidP="00562D83">
      <w:pPr>
        <w:autoSpaceDE w:val="0"/>
        <w:autoSpaceDN w:val="0"/>
        <w:adjustRightInd w:val="0"/>
        <w:rPr>
          <w:rFonts w:ascii="Arial" w:hAnsi="Arial" w:cs="Interstate-Light"/>
          <w:b/>
          <w:color w:val="000000" w:themeColor="text1"/>
        </w:rPr>
      </w:pPr>
      <w:r>
        <w:rPr>
          <w:rFonts w:ascii="Arial" w:hAnsi="Arial"/>
          <w:b/>
          <w:color w:val="000000" w:themeColor="text1"/>
        </w:rPr>
        <w:t>Buers (AT). Dès à présent, l’agrément technique général (abZ) de l’Institut allemand pour la technique du bâtiment (DIBt) atteste la qualité des matériaux PUR Sylomer® et Sylodyn® de Getzner : les matériaux conçus pour protéger les bâtiments contre les secousses répondent désormais également de manière officielle à l’état actuel de la technique en termes de qualité, de sécurité et de résistance.</w:t>
      </w:r>
    </w:p>
    <w:p w:rsidR="00170F00" w:rsidRDefault="00170F00" w:rsidP="00562D83">
      <w:pPr>
        <w:autoSpaceDE w:val="0"/>
        <w:autoSpaceDN w:val="0"/>
        <w:adjustRightInd w:val="0"/>
        <w:rPr>
          <w:rFonts w:ascii="Arial" w:hAnsi="Arial" w:cs="Interstate-Light"/>
          <w:b/>
          <w:color w:val="000000" w:themeColor="text1"/>
        </w:rPr>
      </w:pPr>
    </w:p>
    <w:p w:rsidR="005D6264" w:rsidRDefault="00932E50" w:rsidP="00562D83">
      <w:pPr>
        <w:autoSpaceDE w:val="0"/>
        <w:autoSpaceDN w:val="0"/>
        <w:adjustRightInd w:val="0"/>
        <w:rPr>
          <w:rFonts w:ascii="Arial" w:hAnsi="Arial" w:cs="Interstate-Light"/>
          <w:color w:val="000000" w:themeColor="text1"/>
        </w:rPr>
      </w:pPr>
      <w:r>
        <w:rPr>
          <w:rFonts w:ascii="Arial" w:hAnsi="Arial"/>
          <w:color w:val="000000" w:themeColor="text1"/>
        </w:rPr>
        <w:t xml:space="preserve">Les matériaux Sylomer® et Sylodyn® de Getzner fournissent une protection contre les vibrations et les secousses. Depuis peu, leur qualité très élevée a également été attestée de manière officielle : l’agrément technique général de l’Institut allemand pour la technique du bâtiment garantit que les polyuréthanes (PUR) répondent à l’état actuel de la technique en termes de sécurité, de résistance et de qualité. </w:t>
      </w:r>
    </w:p>
    <w:p w:rsidR="00E46D12" w:rsidRDefault="00E46D12" w:rsidP="00580C4B">
      <w:pPr>
        <w:autoSpaceDE w:val="0"/>
        <w:autoSpaceDN w:val="0"/>
        <w:adjustRightInd w:val="0"/>
        <w:rPr>
          <w:rFonts w:ascii="Arial" w:hAnsi="Arial" w:cs="Interstate-Light"/>
          <w:color w:val="000000" w:themeColor="text1"/>
        </w:rPr>
      </w:pPr>
    </w:p>
    <w:p w:rsidR="00E46D12" w:rsidRPr="005D6264" w:rsidRDefault="00E46D12" w:rsidP="00E46D12">
      <w:pPr>
        <w:autoSpaceDE w:val="0"/>
        <w:autoSpaceDN w:val="0"/>
        <w:adjustRightInd w:val="0"/>
        <w:rPr>
          <w:rFonts w:ascii="Arial" w:hAnsi="Arial" w:cs="Interstate-Light"/>
          <w:b/>
          <w:color w:val="000000" w:themeColor="text1"/>
        </w:rPr>
      </w:pPr>
      <w:r>
        <w:rPr>
          <w:rFonts w:ascii="Arial" w:hAnsi="Arial"/>
          <w:b/>
          <w:color w:val="000000" w:themeColor="text1"/>
        </w:rPr>
        <w:t xml:space="preserve">Premiers élastomères dotés d’un agrément technique général </w:t>
      </w:r>
    </w:p>
    <w:p w:rsidR="00B33F9C" w:rsidRDefault="005D6264" w:rsidP="00562D83">
      <w:pPr>
        <w:autoSpaceDE w:val="0"/>
        <w:autoSpaceDN w:val="0"/>
        <w:adjustRightInd w:val="0"/>
        <w:rPr>
          <w:rFonts w:ascii="Arial" w:hAnsi="Arial" w:cs="Interstate-Light"/>
          <w:color w:val="000000" w:themeColor="text1"/>
        </w:rPr>
      </w:pPr>
      <w:r>
        <w:rPr>
          <w:rFonts w:ascii="Arial" w:hAnsi="Arial"/>
          <w:color w:val="000000" w:themeColor="text1"/>
        </w:rPr>
        <w:t>Le DIBt a évalué les propriétés spécifiques au produit des matériaux, en particulier le comportement en matière de déflexion et de résistance. Les contrôles ont donné comme résultat des valeurs définies pour Sylodyn® afin de démontrer l’état limite de la résistance. Aucune modification n’a lieu quant aux propriétés éprouvées de Sylomer® et Sylodyn® telles que le niveau de réduction des secousses, le comportement au tassement et la résistance au feu : « Les planificateurs, partenaires commerciaux et utilisateurs profitent désormais du fait que le respect de la qualité est dorénavant contrôlé non seulement en interne mais également par des instances externes », souligne Sebastian Wiederin, chef de produits chez Getzner. L’entreprise leader du Vorarlberg établit avec l’agrément technique général de nouvelles références en matière de protection contre les secousses pour ses élastomères dans le génie civil. Getzner présentera pour la première fois des solutions acoustiques basées sur les matériaux en polyuréthane certifiés lors du salon Bau 2017 du 16 au 21 janvier à Munich.</w:t>
      </w:r>
    </w:p>
    <w:p w:rsidR="005C11C5" w:rsidRDefault="005C11C5" w:rsidP="00562D83">
      <w:pPr>
        <w:autoSpaceDE w:val="0"/>
        <w:autoSpaceDN w:val="0"/>
        <w:adjustRightInd w:val="0"/>
        <w:rPr>
          <w:rFonts w:ascii="Arial" w:hAnsi="Arial" w:cs="Interstate-Light"/>
          <w:color w:val="000000" w:themeColor="text1"/>
        </w:rPr>
      </w:pPr>
    </w:p>
    <w:p w:rsidR="00B674C6" w:rsidRPr="00C809C9" w:rsidRDefault="00533AF6" w:rsidP="00562D83">
      <w:pPr>
        <w:autoSpaceDE w:val="0"/>
        <w:autoSpaceDN w:val="0"/>
        <w:adjustRightInd w:val="0"/>
        <w:rPr>
          <w:rFonts w:ascii="Arial" w:hAnsi="Arial" w:cs="Interstate-Light"/>
          <w:b/>
          <w:color w:val="000000" w:themeColor="text1"/>
        </w:rPr>
      </w:pPr>
      <w:r>
        <w:rPr>
          <w:rFonts w:ascii="Arial" w:hAnsi="Arial"/>
          <w:b/>
          <w:color w:val="000000" w:themeColor="text1"/>
        </w:rPr>
        <w:t>Sécurité et clarté : concept de dimensionnement pour ingénieurs en bâtiment</w:t>
      </w:r>
    </w:p>
    <w:p w:rsidR="00731890" w:rsidRDefault="009F76DC" w:rsidP="00E46D12">
      <w:pPr>
        <w:rPr>
          <w:rFonts w:ascii="Arial" w:hAnsi="Arial" w:cs="Interstate-Light"/>
          <w:color w:val="000000" w:themeColor="text1"/>
        </w:rPr>
      </w:pPr>
      <w:r>
        <w:rPr>
          <w:rFonts w:ascii="Arial" w:hAnsi="Arial"/>
          <w:color w:val="000000" w:themeColor="text1"/>
        </w:rPr>
        <w:t>Depuis des années, les solutions acoustiques Getzner se sont établies sur le marché. Désormais, l’expert en insonorisation va plus loin et livre un concept de dimensionnement qui permet une démonstration de stabilité simple et sûre. Ainsi, les solutions d’insonorisation proposées par le physicien de construction peuvent désormais être approuvées par l’ingénieur en bâtiment.</w:t>
      </w:r>
    </w:p>
    <w:p w:rsidR="00E46D12" w:rsidRDefault="00E46D12" w:rsidP="00E46D12">
      <w:pPr>
        <w:tabs>
          <w:tab w:val="left" w:pos="2127"/>
        </w:tabs>
        <w:autoSpaceDE w:val="0"/>
        <w:autoSpaceDN w:val="0"/>
        <w:adjustRightInd w:val="0"/>
        <w:rPr>
          <w:rFonts w:ascii="Arial" w:hAnsi="Arial" w:cs="Interstate-Light"/>
          <w:color w:val="000000" w:themeColor="text1"/>
        </w:rPr>
      </w:pPr>
    </w:p>
    <w:p w:rsidR="00E46D12" w:rsidRPr="00E46D12" w:rsidRDefault="00E46D12" w:rsidP="00E46D12">
      <w:pPr>
        <w:tabs>
          <w:tab w:val="left" w:pos="2127"/>
        </w:tabs>
        <w:autoSpaceDE w:val="0"/>
        <w:autoSpaceDN w:val="0"/>
        <w:adjustRightInd w:val="0"/>
        <w:rPr>
          <w:rFonts w:ascii="Arial" w:hAnsi="Arial" w:cs="Interstate-Light"/>
          <w:b/>
          <w:color w:val="000000" w:themeColor="text1"/>
        </w:rPr>
      </w:pPr>
      <w:r>
        <w:rPr>
          <w:rFonts w:ascii="Arial" w:hAnsi="Arial"/>
          <w:b/>
          <w:color w:val="000000" w:themeColor="text1"/>
        </w:rPr>
        <w:t xml:space="preserve">Amélioration de la qualité d’habitat et de travail </w:t>
      </w:r>
    </w:p>
    <w:p w:rsidR="00E46D12" w:rsidRDefault="00E46D12" w:rsidP="00E46D12">
      <w:pPr>
        <w:tabs>
          <w:tab w:val="left" w:pos="2127"/>
        </w:tabs>
        <w:autoSpaceDE w:val="0"/>
        <w:autoSpaceDN w:val="0"/>
        <w:adjustRightInd w:val="0"/>
        <w:rPr>
          <w:rFonts w:ascii="Arial" w:hAnsi="Arial" w:cs="Interstate-Light"/>
          <w:color w:val="000000" w:themeColor="text1"/>
        </w:rPr>
      </w:pPr>
      <w:r>
        <w:rPr>
          <w:rFonts w:ascii="Arial" w:hAnsi="Arial"/>
          <w:color w:val="000000" w:themeColor="text1"/>
        </w:rPr>
        <w:t xml:space="preserve">Sylomer® et Sylodyn® de Getzner améliorent la qualité d’habitat et de travail dans divers bâtiments : dans des immeubles d’habitation ainsi que des immeubles de bureaux, des hôpitaux, des complexes industriels et même des opéras. La protection contre les vibrations est essentielle, en particulier lorsque des routes ou voies ferrées sont adjacentes aux bâtiments ou lorsque des machines provoquent des vibrations indésirables. </w:t>
      </w:r>
    </w:p>
    <w:p w:rsidR="005D6264" w:rsidRDefault="005D6264">
      <w:pPr>
        <w:tabs>
          <w:tab w:val="left" w:pos="2127"/>
        </w:tabs>
        <w:autoSpaceDE w:val="0"/>
        <w:autoSpaceDN w:val="0"/>
        <w:adjustRightInd w:val="0"/>
        <w:rPr>
          <w:rFonts w:ascii="Arial" w:hAnsi="Arial" w:cs="Interstate-Light"/>
          <w:color w:val="808080" w:themeColor="background1" w:themeShade="80"/>
        </w:rPr>
      </w:pPr>
    </w:p>
    <w:p w:rsidR="00992035" w:rsidRPr="006A519C" w:rsidRDefault="00992035" w:rsidP="00992035">
      <w:pPr>
        <w:rPr>
          <w:rFonts w:ascii="Arial" w:hAnsi="Arial" w:cs="Arial"/>
        </w:rPr>
      </w:pPr>
      <w:r>
        <w:rPr>
          <w:rFonts w:ascii="Arial" w:hAnsi="Arial"/>
          <w:b/>
        </w:rPr>
        <w:t>Photo 1 :</w:t>
      </w:r>
      <w:r>
        <w:rPr>
          <w:rFonts w:ascii="Arial" w:hAnsi="Arial"/>
        </w:rPr>
        <w:t xml:space="preserve"> Produktion.jpg</w:t>
      </w:r>
      <w:r>
        <w:rPr>
          <w:rFonts w:ascii="Arial" w:hAnsi="Arial"/>
        </w:rPr>
        <w:br/>
      </w:r>
      <w:r>
        <w:rPr>
          <w:rFonts w:ascii="Arial" w:hAnsi="Arial"/>
          <w:b/>
        </w:rPr>
        <w:t>Légende 1 </w:t>
      </w:r>
      <w:r>
        <w:rPr>
          <w:rFonts w:ascii="Arial" w:hAnsi="Arial"/>
        </w:rPr>
        <w:t xml:space="preserve">: L’agrément atteste que les matériaux PUR de Getzner satisfont les </w:t>
      </w:r>
      <w:r>
        <w:rPr>
          <w:rFonts w:ascii="Arial" w:hAnsi="Arial"/>
        </w:rPr>
        <w:lastRenderedPageBreak/>
        <w:t>hautes exigences de qualité et ainsi toutes les conditions pour une utilisation sûre dans le génie civil.</w:t>
      </w:r>
    </w:p>
    <w:p w:rsidR="00752E52" w:rsidRPr="006A519C" w:rsidRDefault="00752E52" w:rsidP="00752E52">
      <w:r>
        <w:rPr>
          <w:rFonts w:ascii="Arial" w:hAnsi="Arial"/>
          <w:b/>
        </w:rPr>
        <w:t>Crédit photographique </w:t>
      </w:r>
      <w:r>
        <w:rPr>
          <w:rFonts w:ascii="Arial" w:hAnsi="Arial"/>
        </w:rPr>
        <w:t>: Getzner Werkstoffe GmbH, publication libre de droits.</w:t>
      </w:r>
    </w:p>
    <w:p w:rsidR="00992035" w:rsidRPr="006A519C" w:rsidRDefault="00992035" w:rsidP="00992035">
      <w:pPr>
        <w:rPr>
          <w:rFonts w:ascii="Arial" w:hAnsi="Arial"/>
        </w:rPr>
      </w:pPr>
    </w:p>
    <w:p w:rsidR="00992035" w:rsidRPr="006A519C" w:rsidRDefault="00992035" w:rsidP="00992035">
      <w:pPr>
        <w:rPr>
          <w:rFonts w:ascii="Arial" w:hAnsi="Arial" w:cs="Arial"/>
        </w:rPr>
      </w:pPr>
      <w:r>
        <w:rPr>
          <w:rFonts w:ascii="Arial" w:hAnsi="Arial"/>
          <w:b/>
        </w:rPr>
        <w:t>Photo 2 :</w:t>
      </w:r>
      <w:r>
        <w:rPr>
          <w:rFonts w:ascii="Arial" w:hAnsi="Arial"/>
        </w:rPr>
        <w:t xml:space="preserve"> Werkstoffe.jpg</w:t>
      </w:r>
      <w:r>
        <w:rPr>
          <w:rFonts w:ascii="Arial" w:hAnsi="Arial"/>
        </w:rPr>
        <w:br/>
      </w:r>
      <w:r>
        <w:rPr>
          <w:rFonts w:ascii="Arial" w:hAnsi="Arial"/>
          <w:b/>
        </w:rPr>
        <w:t>Légende 2 </w:t>
      </w:r>
      <w:r>
        <w:rPr>
          <w:rFonts w:ascii="Arial" w:hAnsi="Arial"/>
        </w:rPr>
        <w:t xml:space="preserve">: Toutes les propriétés de matériau de Sylomer® et Sylodyn® ont été vérifiées et attestées par le DIBt. </w:t>
      </w:r>
    </w:p>
    <w:p w:rsidR="00F01A7C" w:rsidRPr="00F50171" w:rsidRDefault="00992035" w:rsidP="006A34E7">
      <w:r>
        <w:rPr>
          <w:rFonts w:ascii="Arial" w:hAnsi="Arial"/>
          <w:b/>
        </w:rPr>
        <w:t>Crédit photographique </w:t>
      </w:r>
      <w:r>
        <w:rPr>
          <w:rFonts w:ascii="Arial" w:hAnsi="Arial"/>
        </w:rPr>
        <w:t>: Getzner Werkstoffe GmbH, publication libre de droits.</w:t>
      </w:r>
      <w:bookmarkStart w:id="0" w:name="_GoBack"/>
      <w:bookmarkEnd w:id="0"/>
    </w:p>
    <w:p w:rsidR="009A4280" w:rsidRDefault="009A4280" w:rsidP="006A34E7">
      <w:pPr>
        <w:rPr>
          <w:rFonts w:ascii="Arial" w:hAnsi="Arial"/>
          <w:b/>
        </w:rPr>
      </w:pPr>
    </w:p>
    <w:p w:rsidR="006A34E7" w:rsidRDefault="006A34E7" w:rsidP="006A34E7">
      <w:pPr>
        <w:rPr>
          <w:rFonts w:ascii="Arial" w:hAnsi="Arial"/>
        </w:rPr>
      </w:pPr>
      <w:r>
        <w:rPr>
          <w:rFonts w:ascii="Arial" w:hAnsi="Arial"/>
          <w:b/>
        </w:rPr>
        <w:t xml:space="preserve">Références en protection contre les vibrations dans le génie civil </w:t>
      </w:r>
      <w:r>
        <w:rPr>
          <w:rFonts w:ascii="Arial" w:hAnsi="Arial"/>
        </w:rPr>
        <w:t>(sélection) :</w:t>
      </w:r>
    </w:p>
    <w:p w:rsidR="00FD1CDF" w:rsidRPr="00335D6A" w:rsidRDefault="00FD1CDF" w:rsidP="00335D6A">
      <w:pPr>
        <w:pStyle w:val="Listenabsatz"/>
        <w:numPr>
          <w:ilvl w:val="0"/>
          <w:numId w:val="7"/>
        </w:numPr>
        <w:rPr>
          <w:rFonts w:ascii="Arial" w:hAnsi="Arial"/>
        </w:rPr>
      </w:pPr>
      <w:r>
        <w:rPr>
          <w:rFonts w:ascii="Arial" w:hAnsi="Arial"/>
        </w:rPr>
        <w:t>Immeuble résidentiel Pater-Kolbe-Straße, Munich (DE)</w:t>
      </w:r>
    </w:p>
    <w:p w:rsidR="00FD1CDF" w:rsidRPr="00335D6A" w:rsidRDefault="00FD1CDF" w:rsidP="00335D6A">
      <w:pPr>
        <w:pStyle w:val="Listenabsatz"/>
        <w:numPr>
          <w:ilvl w:val="0"/>
          <w:numId w:val="7"/>
        </w:numPr>
        <w:rPr>
          <w:rFonts w:ascii="Arial" w:hAnsi="Arial"/>
        </w:rPr>
      </w:pPr>
      <w:r>
        <w:rPr>
          <w:rFonts w:ascii="Arial" w:hAnsi="Arial"/>
        </w:rPr>
        <w:t>Centre commercial Smolenskaya, Moscou (RU)</w:t>
      </w:r>
    </w:p>
    <w:p w:rsidR="00335D6A" w:rsidRPr="00335D6A" w:rsidRDefault="00335D6A" w:rsidP="00335D6A">
      <w:pPr>
        <w:pStyle w:val="Listenabsatz"/>
        <w:numPr>
          <w:ilvl w:val="0"/>
          <w:numId w:val="7"/>
        </w:numPr>
        <w:rPr>
          <w:rFonts w:ascii="Arial" w:hAnsi="Arial"/>
        </w:rPr>
      </w:pPr>
      <w:r>
        <w:rPr>
          <w:rFonts w:ascii="Arial" w:hAnsi="Arial"/>
        </w:rPr>
        <w:t>Immeuble de bureaux « Die tanzenden Türme », Hambourg (DE)</w:t>
      </w:r>
    </w:p>
    <w:p w:rsidR="009A4280" w:rsidRPr="005B7DA9" w:rsidRDefault="00FD1CDF" w:rsidP="00335D6A">
      <w:pPr>
        <w:pStyle w:val="Listenabsatz"/>
        <w:numPr>
          <w:ilvl w:val="0"/>
          <w:numId w:val="7"/>
        </w:numPr>
        <w:rPr>
          <w:rFonts w:ascii="Arial" w:hAnsi="Arial"/>
        </w:rPr>
      </w:pPr>
      <w:r>
        <w:rPr>
          <w:rFonts w:ascii="Arial" w:hAnsi="Arial"/>
        </w:rPr>
        <w:t xml:space="preserve">Immeuble de luxe « The Touraine », New York (USA) </w:t>
      </w:r>
    </w:p>
    <w:p w:rsidR="00335D6A" w:rsidRPr="00670B21" w:rsidRDefault="00335D6A" w:rsidP="008A21A0">
      <w:pPr>
        <w:pStyle w:val="Listenabsatz"/>
        <w:numPr>
          <w:ilvl w:val="0"/>
          <w:numId w:val="7"/>
        </w:numPr>
        <w:rPr>
          <w:rFonts w:ascii="Arial" w:hAnsi="Arial"/>
        </w:rPr>
      </w:pPr>
      <w:r>
        <w:rPr>
          <w:rFonts w:ascii="Arial" w:hAnsi="Arial"/>
        </w:rPr>
        <w:t>Europaallee (hôtel design, appartements, salles de cinéma, bureaux, restaurants, magasins), Zurich (CH)</w:t>
      </w:r>
    </w:p>
    <w:p w:rsidR="00C74270" w:rsidRPr="008B7A97" w:rsidRDefault="00FD1CDF" w:rsidP="006A34E7">
      <w:pPr>
        <w:rPr>
          <w:rFonts w:ascii="Arial" w:hAnsi="Arial"/>
          <w:b/>
        </w:rPr>
        <w:sectPr w:rsidR="00C74270" w:rsidRPr="008B7A97" w:rsidSect="00750F59">
          <w:pgSz w:w="11900" w:h="16840"/>
          <w:pgMar w:top="1440" w:right="1800" w:bottom="1440" w:left="1800" w:header="708" w:footer="708" w:gutter="0"/>
          <w:cols w:space="708"/>
          <w:docGrid w:linePitch="360"/>
        </w:sectPr>
      </w:pPr>
      <w:r>
        <w:rPr>
          <w:rFonts w:ascii="Arial" w:hAnsi="Arial"/>
          <w:b/>
        </w:rPr>
        <w:br/>
      </w:r>
    </w:p>
    <w:p w:rsidR="006A34E7" w:rsidRPr="00D00BAA" w:rsidRDefault="006A34E7" w:rsidP="006A34E7">
      <w:pPr>
        <w:rPr>
          <w:rFonts w:ascii="Arial" w:hAnsi="Arial"/>
        </w:rPr>
      </w:pPr>
      <w:r>
        <w:rPr>
          <w:rFonts w:ascii="Arial" w:hAnsi="Arial"/>
          <w:b/>
        </w:rPr>
        <w:t>Informations complémentaires :</w:t>
      </w:r>
      <w:r>
        <w:rPr>
          <w:rFonts w:ascii="Arial" w:hAnsi="Arial"/>
          <w:b/>
        </w:rPr>
        <w:br/>
      </w:r>
      <w:r>
        <w:rPr>
          <w:rFonts w:ascii="Arial" w:hAnsi="Arial"/>
        </w:rPr>
        <w:t>Getzner Werkstoffe GmbH</w:t>
      </w:r>
      <w:r>
        <w:rPr>
          <w:rFonts w:ascii="Arial" w:hAnsi="Arial"/>
        </w:rPr>
        <w:br/>
        <w:t>Nathalie Gartler</w:t>
      </w:r>
      <w:r>
        <w:rPr>
          <w:rFonts w:ascii="Arial" w:hAnsi="Arial"/>
        </w:rPr>
        <w:br/>
        <w:t>Tél. : +43-5552-201-1869</w:t>
      </w:r>
      <w:r>
        <w:rPr>
          <w:rFonts w:ascii="Arial" w:hAnsi="Arial"/>
        </w:rPr>
        <w:br/>
        <w:t>nathalie.gartler@getzner.com</w:t>
      </w:r>
    </w:p>
    <w:p w:rsidR="006A34E7" w:rsidRDefault="006A34E7" w:rsidP="006A34E7">
      <w:pPr>
        <w:suppressAutoHyphens/>
        <w:rPr>
          <w:rFonts w:ascii="Arial" w:hAnsi="Arial"/>
        </w:rPr>
      </w:pPr>
    </w:p>
    <w:p w:rsidR="006A34E7" w:rsidRPr="00B67634" w:rsidRDefault="00C74270" w:rsidP="006A34E7">
      <w:pPr>
        <w:suppressAutoHyphens/>
        <w:rPr>
          <w:rFonts w:ascii="Arial" w:hAnsi="Arial"/>
        </w:rPr>
      </w:pPr>
      <w:r>
        <w:br w:type="column"/>
      </w:r>
      <w:r>
        <w:rPr>
          <w:rFonts w:ascii="Arial" w:hAnsi="Arial"/>
        </w:rPr>
        <w:t>Contact presse :</w:t>
      </w:r>
      <w:r>
        <w:rPr>
          <w:rFonts w:ascii="Arial" w:hAnsi="Arial"/>
        </w:rPr>
        <w:br/>
        <w:t>ikp Vorarlberg GmbH</w:t>
      </w:r>
      <w:r>
        <w:rPr>
          <w:rFonts w:ascii="Arial" w:hAnsi="Arial"/>
        </w:rPr>
        <w:br/>
        <w:t>Wanda Mikulec-Schwarz</w:t>
      </w:r>
    </w:p>
    <w:p w:rsidR="006A34E7" w:rsidRPr="00562D83" w:rsidRDefault="006A34E7" w:rsidP="005D6264">
      <w:pPr>
        <w:suppressAutoHyphens/>
        <w:rPr>
          <w:rFonts w:ascii="Arial" w:hAnsi="Arial" w:cs="Interstate-Light"/>
          <w:color w:val="808080" w:themeColor="background1" w:themeShade="80"/>
        </w:rPr>
      </w:pPr>
      <w:r>
        <w:rPr>
          <w:rFonts w:ascii="Arial" w:hAnsi="Arial"/>
        </w:rPr>
        <w:t>Tél. : +43-5572-398811</w:t>
      </w:r>
      <w:r>
        <w:rPr>
          <w:rFonts w:ascii="Arial" w:hAnsi="Arial"/>
        </w:rPr>
        <w:br/>
        <w:t>wanda.schwarz@ikp.at</w:t>
      </w:r>
    </w:p>
    <w:sectPr w:rsidR="006A34E7" w:rsidRPr="00562D83" w:rsidSect="00C74270">
      <w:type w:val="continuous"/>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Interstate-Light">
    <w:panose1 w:val="02000606030000020004"/>
    <w:charset w:val="00"/>
    <w:family w:val="auto"/>
    <w:pitch w:val="variable"/>
    <w:sig w:usb0="00000083"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0922"/>
    <w:multiLevelType w:val="hybridMultilevel"/>
    <w:tmpl w:val="1D9C67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3237B9"/>
    <w:multiLevelType w:val="hybridMultilevel"/>
    <w:tmpl w:val="1F7AD50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0A0940"/>
    <w:multiLevelType w:val="hybridMultilevel"/>
    <w:tmpl w:val="0B90FDB6"/>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3F618C"/>
    <w:multiLevelType w:val="multilevel"/>
    <w:tmpl w:val="0B90FDB6"/>
    <w:lvl w:ilvl="0">
      <w:start w:val="20"/>
      <w:numFmt w:val="bullet"/>
      <w:lvlText w:val="-"/>
      <w:lvlJc w:val="left"/>
      <w:pPr>
        <w:ind w:left="860" w:hanging="500"/>
      </w:pPr>
      <w:rPr>
        <w:rFonts w:ascii="Arial" w:eastAsiaTheme="minorHAnsi" w:hAnsi="Arial" w:cs="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67A6FFA"/>
    <w:multiLevelType w:val="hybridMultilevel"/>
    <w:tmpl w:val="2FBCBA04"/>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CC90CF0"/>
    <w:multiLevelType w:val="hybridMultilevel"/>
    <w:tmpl w:val="2B024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D83"/>
    <w:rsid w:val="00005789"/>
    <w:rsid w:val="00016C37"/>
    <w:rsid w:val="00021546"/>
    <w:rsid w:val="00032A0C"/>
    <w:rsid w:val="00072D2E"/>
    <w:rsid w:val="00073F8D"/>
    <w:rsid w:val="000916E9"/>
    <w:rsid w:val="000F6BAA"/>
    <w:rsid w:val="00147FE3"/>
    <w:rsid w:val="001530CE"/>
    <w:rsid w:val="00170F00"/>
    <w:rsid w:val="00175753"/>
    <w:rsid w:val="001805E2"/>
    <w:rsid w:val="00184A6B"/>
    <w:rsid w:val="001D52B1"/>
    <w:rsid w:val="001F78F6"/>
    <w:rsid w:val="00204A59"/>
    <w:rsid w:val="00214CE7"/>
    <w:rsid w:val="002272FC"/>
    <w:rsid w:val="00235699"/>
    <w:rsid w:val="002548CF"/>
    <w:rsid w:val="002852B7"/>
    <w:rsid w:val="00300B0A"/>
    <w:rsid w:val="0030264B"/>
    <w:rsid w:val="00304E39"/>
    <w:rsid w:val="003326C7"/>
    <w:rsid w:val="00335D6A"/>
    <w:rsid w:val="00337F06"/>
    <w:rsid w:val="00355202"/>
    <w:rsid w:val="003765CA"/>
    <w:rsid w:val="003B51E4"/>
    <w:rsid w:val="003C10FD"/>
    <w:rsid w:val="003C2AAD"/>
    <w:rsid w:val="003D06DE"/>
    <w:rsid w:val="003D5CEE"/>
    <w:rsid w:val="003E36FA"/>
    <w:rsid w:val="00402E9B"/>
    <w:rsid w:val="00405E08"/>
    <w:rsid w:val="0040750C"/>
    <w:rsid w:val="00422B91"/>
    <w:rsid w:val="004A5A58"/>
    <w:rsid w:val="004A7EEB"/>
    <w:rsid w:val="004C2A25"/>
    <w:rsid w:val="004D2494"/>
    <w:rsid w:val="004E7F58"/>
    <w:rsid w:val="004F6524"/>
    <w:rsid w:val="005276AD"/>
    <w:rsid w:val="00533AF6"/>
    <w:rsid w:val="00541EF6"/>
    <w:rsid w:val="00552831"/>
    <w:rsid w:val="005535D0"/>
    <w:rsid w:val="00560E9B"/>
    <w:rsid w:val="00562508"/>
    <w:rsid w:val="00562D83"/>
    <w:rsid w:val="00563462"/>
    <w:rsid w:val="00575AA1"/>
    <w:rsid w:val="00580C4B"/>
    <w:rsid w:val="005B2732"/>
    <w:rsid w:val="005B7DA9"/>
    <w:rsid w:val="005C0372"/>
    <w:rsid w:val="005C11C5"/>
    <w:rsid w:val="005D6264"/>
    <w:rsid w:val="005D6700"/>
    <w:rsid w:val="0060763D"/>
    <w:rsid w:val="00607C3F"/>
    <w:rsid w:val="0061598C"/>
    <w:rsid w:val="006208E3"/>
    <w:rsid w:val="006326BC"/>
    <w:rsid w:val="006334F6"/>
    <w:rsid w:val="00662F40"/>
    <w:rsid w:val="00670B21"/>
    <w:rsid w:val="006A34E7"/>
    <w:rsid w:val="006A519C"/>
    <w:rsid w:val="006D7D6F"/>
    <w:rsid w:val="006F7DB6"/>
    <w:rsid w:val="00716899"/>
    <w:rsid w:val="00717D0C"/>
    <w:rsid w:val="00731890"/>
    <w:rsid w:val="00742D64"/>
    <w:rsid w:val="00750F59"/>
    <w:rsid w:val="00752E52"/>
    <w:rsid w:val="00765E5F"/>
    <w:rsid w:val="007676E1"/>
    <w:rsid w:val="00786D3A"/>
    <w:rsid w:val="00787443"/>
    <w:rsid w:val="00790EE4"/>
    <w:rsid w:val="007A7A80"/>
    <w:rsid w:val="007C37AE"/>
    <w:rsid w:val="007C5345"/>
    <w:rsid w:val="007F0032"/>
    <w:rsid w:val="007F23C8"/>
    <w:rsid w:val="0084537A"/>
    <w:rsid w:val="00847082"/>
    <w:rsid w:val="008606D8"/>
    <w:rsid w:val="00860D27"/>
    <w:rsid w:val="008A21A0"/>
    <w:rsid w:val="008B5FAE"/>
    <w:rsid w:val="008B7A97"/>
    <w:rsid w:val="008D71A5"/>
    <w:rsid w:val="008E18AB"/>
    <w:rsid w:val="00913AA9"/>
    <w:rsid w:val="00916650"/>
    <w:rsid w:val="009201D3"/>
    <w:rsid w:val="00932E50"/>
    <w:rsid w:val="00976683"/>
    <w:rsid w:val="00992035"/>
    <w:rsid w:val="009A4280"/>
    <w:rsid w:val="009C110B"/>
    <w:rsid w:val="009C44C7"/>
    <w:rsid w:val="009F76DC"/>
    <w:rsid w:val="00A136F5"/>
    <w:rsid w:val="00A47171"/>
    <w:rsid w:val="00A52553"/>
    <w:rsid w:val="00A93838"/>
    <w:rsid w:val="00AB6794"/>
    <w:rsid w:val="00AC21C8"/>
    <w:rsid w:val="00AF7866"/>
    <w:rsid w:val="00B01516"/>
    <w:rsid w:val="00B21CC4"/>
    <w:rsid w:val="00B33F9C"/>
    <w:rsid w:val="00B372EB"/>
    <w:rsid w:val="00B55D29"/>
    <w:rsid w:val="00B60C07"/>
    <w:rsid w:val="00B674C6"/>
    <w:rsid w:val="00B931B5"/>
    <w:rsid w:val="00BB3DEB"/>
    <w:rsid w:val="00BB56DE"/>
    <w:rsid w:val="00BC28B8"/>
    <w:rsid w:val="00BD40E1"/>
    <w:rsid w:val="00BF317F"/>
    <w:rsid w:val="00C3673C"/>
    <w:rsid w:val="00C46FA8"/>
    <w:rsid w:val="00C60633"/>
    <w:rsid w:val="00C6788A"/>
    <w:rsid w:val="00C74270"/>
    <w:rsid w:val="00C809C9"/>
    <w:rsid w:val="00CA6691"/>
    <w:rsid w:val="00CB2651"/>
    <w:rsid w:val="00CC2A59"/>
    <w:rsid w:val="00CC556A"/>
    <w:rsid w:val="00CF201D"/>
    <w:rsid w:val="00D122EB"/>
    <w:rsid w:val="00D41DB7"/>
    <w:rsid w:val="00D45BDA"/>
    <w:rsid w:val="00D719B3"/>
    <w:rsid w:val="00D75A2E"/>
    <w:rsid w:val="00D82B70"/>
    <w:rsid w:val="00DD47F2"/>
    <w:rsid w:val="00DD5B43"/>
    <w:rsid w:val="00E05C9D"/>
    <w:rsid w:val="00E20740"/>
    <w:rsid w:val="00E46D12"/>
    <w:rsid w:val="00E529AF"/>
    <w:rsid w:val="00E53C04"/>
    <w:rsid w:val="00E65767"/>
    <w:rsid w:val="00F01A7C"/>
    <w:rsid w:val="00F043F5"/>
    <w:rsid w:val="00F05E83"/>
    <w:rsid w:val="00F162FF"/>
    <w:rsid w:val="00F50171"/>
    <w:rsid w:val="00F557A1"/>
    <w:rsid w:val="00F917DE"/>
    <w:rsid w:val="00F96E21"/>
    <w:rsid w:val="00F9711B"/>
    <w:rsid w:val="00FB2CAD"/>
    <w:rsid w:val="00FC09AD"/>
    <w:rsid w:val="00FD1CDF"/>
    <w:rsid w:val="00FD565A"/>
    <w:rsid w:val="00FE0E94"/>
    <w:rsid w:val="00FF215E"/>
    <w:rsid w:val="00FF63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EC74197-9EFA-4FCD-9780-3560B823E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62D83"/>
    <w:rPr>
      <w:rFonts w:eastAsiaTheme="minorHAns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562D83"/>
    <w:rPr>
      <w:sz w:val="18"/>
      <w:szCs w:val="18"/>
    </w:rPr>
  </w:style>
  <w:style w:type="paragraph" w:styleId="Kommentartext">
    <w:name w:val="annotation text"/>
    <w:basedOn w:val="Standard"/>
    <w:link w:val="KommentartextZchn"/>
    <w:uiPriority w:val="99"/>
    <w:semiHidden/>
    <w:unhideWhenUsed/>
    <w:rsid w:val="00562D83"/>
    <w:rPr>
      <w:rFonts w:ascii="Cambria" w:eastAsia="MS Mincho" w:hAnsi="Cambria" w:cs="Times New Roman"/>
      <w:sz w:val="24"/>
      <w:szCs w:val="24"/>
    </w:rPr>
  </w:style>
  <w:style w:type="character" w:customStyle="1" w:styleId="KommentartextZchn">
    <w:name w:val="Kommentartext Zchn"/>
    <w:basedOn w:val="Absatz-Standardschriftart"/>
    <w:link w:val="Kommentartext"/>
    <w:uiPriority w:val="99"/>
    <w:semiHidden/>
    <w:rsid w:val="00562D83"/>
    <w:rPr>
      <w:rFonts w:ascii="Cambria" w:eastAsia="MS Mincho" w:hAnsi="Cambria" w:cs="Times New Roman"/>
      <w:lang w:eastAsia="fr-FR"/>
    </w:rPr>
  </w:style>
  <w:style w:type="paragraph" w:styleId="Sprechblasentext">
    <w:name w:val="Balloon Text"/>
    <w:basedOn w:val="Standard"/>
    <w:link w:val="SprechblasentextZchn"/>
    <w:uiPriority w:val="99"/>
    <w:semiHidden/>
    <w:unhideWhenUsed/>
    <w:rsid w:val="00562D8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562D83"/>
    <w:rPr>
      <w:rFonts w:ascii="Lucida Grande" w:eastAsiaTheme="minorHAnsi" w:hAnsi="Lucida Grande" w:cs="Lucida Grande"/>
      <w:sz w:val="18"/>
      <w:szCs w:val="18"/>
    </w:rPr>
  </w:style>
  <w:style w:type="paragraph" w:styleId="Listenabsatz">
    <w:name w:val="List Paragraph"/>
    <w:basedOn w:val="Standard"/>
    <w:uiPriority w:val="34"/>
    <w:qFormat/>
    <w:rsid w:val="00562D83"/>
    <w:pPr>
      <w:ind w:left="720"/>
      <w:contextualSpacing/>
    </w:pPr>
  </w:style>
  <w:style w:type="paragraph" w:styleId="Kommentarthema">
    <w:name w:val="annotation subject"/>
    <w:basedOn w:val="Kommentartext"/>
    <w:next w:val="Kommentartext"/>
    <w:link w:val="KommentarthemaZchn"/>
    <w:uiPriority w:val="99"/>
    <w:semiHidden/>
    <w:unhideWhenUsed/>
    <w:rsid w:val="007F23C8"/>
    <w:rPr>
      <w:rFonts w:asciiTheme="minorHAnsi" w:eastAsiaTheme="minorHAnsi" w:hAnsiTheme="minorHAnsi" w:cstheme="minorBidi"/>
      <w:b/>
      <w:bCs/>
      <w:sz w:val="20"/>
      <w:szCs w:val="20"/>
    </w:rPr>
  </w:style>
  <w:style w:type="character" w:customStyle="1" w:styleId="KommentarthemaZchn">
    <w:name w:val="Kommentarthema Zchn"/>
    <w:basedOn w:val="KommentartextZchn"/>
    <w:link w:val="Kommentarthema"/>
    <w:uiPriority w:val="99"/>
    <w:semiHidden/>
    <w:rsid w:val="007F23C8"/>
    <w:rPr>
      <w:rFonts w:ascii="Cambria" w:eastAsiaTheme="minorHAnsi" w:hAnsi="Cambria"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416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3629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Gartler Nathalie</cp:lastModifiedBy>
  <cp:revision>10</cp:revision>
  <cp:lastPrinted>2016-11-21T13:33:00Z</cp:lastPrinted>
  <dcterms:created xsi:type="dcterms:W3CDTF">2016-11-22T09:43:00Z</dcterms:created>
  <dcterms:modified xsi:type="dcterms:W3CDTF">2016-11-29T09:15:00Z</dcterms:modified>
</cp:coreProperties>
</file>